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451024f9b47c5" /></Relationships>
</file>

<file path=word/document.xml><?xml version="1.0" encoding="utf-8"?>
<w:document xmlns:w="http://schemas.openxmlformats.org/wordprocessingml/2006/main">
  <w:body>
    <w:p>
      <w:r>
        <w:t>S-3808.1</w:t>
      </w:r>
    </w:p>
    <w:p>
      <w:pPr>
        <w:jc w:val="center"/>
      </w:pPr>
      <w:r>
        <w:t>_______________________________________________</w:t>
      </w:r>
    </w:p>
    <w:p/>
    <w:p>
      <w:pPr>
        <w:jc w:val="center"/>
      </w:pPr>
      <w:r>
        <w:rPr>
          <w:b/>
        </w:rPr>
        <w:t>SENATE BILL 6308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Takko, Warnick, and Ranker</w:t>
      </w:r>
    </w:p>
    <w:p/>
    <w:p>
      <w:r>
        <w:rPr>
          <w:t xml:space="preserve">Read first time 01/14/16.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migratory bird hunting fees; amending RCW 77.32.350; and adding a new section to chapter 77.32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32</w:t>
      </w:r>
      <w:r>
        <w:rPr/>
        <w:t xml:space="preserve">.</w:t>
      </w:r>
      <w:r>
        <w:t xml:space="preserve">350</w:t>
      </w:r>
      <w:r>
        <w:rPr/>
        <w:t xml:space="preserve"> and 2011 c 339 s 7 are each amended to read as follows:</w:t>
      </w:r>
    </w:p>
    <w:p>
      <w:pPr>
        <w:spacing w:before="0" w:after="0" w:line="408" w:lineRule="exact"/>
        <w:ind w:left="0" w:right="0" w:firstLine="576"/>
        <w:jc w:val="left"/>
      </w:pPr>
      <w:r>
        <w:rPr>
          <w:u w:val="single"/>
        </w:rPr>
        <w:t xml:space="preserve">(1)</w:t>
      </w:r>
      <w:r>
        <w:rPr/>
        <w:t xml:space="preserve"> In addition to a small game hunting license, a supplemental permit is required to hunt for migratory birds.</w:t>
      </w:r>
    </w:p>
    <w:p>
      <w:pPr>
        <w:spacing w:before="0" w:after="0" w:line="408" w:lineRule="exact"/>
        <w:ind w:left="0" w:right="0" w:firstLine="576"/>
        <w:jc w:val="left"/>
      </w:pPr>
      <w:r>
        <w:rPr>
          <w:u w:val="single"/>
        </w:rPr>
        <w:t xml:space="preserve">(2)</w:t>
      </w:r>
      <w:r>
        <w:rPr/>
        <w:t xml:space="preserve"> A migratory bird permit is required for all persons sixteen years of age or older to hunt migratory birds. The fee for the permit for hunters is </w:t>
      </w:r>
      <w:r>
        <w:t>((</w:t>
      </w:r>
      <w:r>
        <w:rPr>
          <w:strike/>
        </w:rPr>
        <w:t xml:space="preserve">fifteen</w:t>
      </w:r>
      <w:r>
        <w:t>))</w:t>
      </w:r>
      <w:r>
        <w:rPr/>
        <w:t xml:space="preserve"> </w:t>
      </w:r>
      <w:r>
        <w:rPr>
          <w:u w:val="single"/>
        </w:rPr>
        <w:t xml:space="preserve">twenty-five</w:t>
      </w:r>
      <w:r>
        <w:rPr/>
        <w:t xml:space="preserve"> dollars for residents and nonresidents.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The migratory bird account is created in the custody of the state treasurer. All receipts from the fees paid under RCW 77.32.350 must be deposited into the account. Expenditures from the account may be used only for purposes relating to the department's migratory game bird program as specified in RCW 77.12.670. Only the director or the director's designee may authorize expenditures from the account. The account is subject to allotment procedures under chapter 43.88 RCW, but an appropriation is not required for expenditures.</w:t>
      </w:r>
    </w:p>
    <w:p/>
    <w:p>
      <w:pPr>
        <w:jc w:val="center"/>
      </w:pPr>
      <w:r>
        <w:rPr>
          <w:b/>
        </w:rPr>
        <w:t>--- END ---</w:t>
      </w:r>
    </w:p>
    <w:sectPr>
      <w:pgNumType w:start="1"/>
      <w:footerReference xmlns:r="http://schemas.openxmlformats.org/officeDocument/2006/relationships" r:id="Re058b8765eef4d8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1aa298abdc4fdb" /><Relationship Type="http://schemas.openxmlformats.org/officeDocument/2006/relationships/footer" Target="/word/footer.xml" Id="Re058b8765eef4d85" /></Relationships>
</file>