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2683f458048bb" /></Relationships>
</file>

<file path=word/document.xml><?xml version="1.0" encoding="utf-8"?>
<w:document xmlns:w="http://schemas.openxmlformats.org/wordprocessingml/2006/main">
  <w:body>
    <w:p>
      <w:r>
        <w:t>S-3556.1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6284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Senators Takko and Roach</w:t>
      </w:r>
    </w:p>
    <w:p/>
    <w:p>
      <w:r>
        <w:rPr>
          <w:t xml:space="preserve">Read first time 01/14/16.  </w:t>
        </w:rPr>
      </w:r>
      <w:r>
        <w:rPr>
          <w:t xml:space="preserve">Referred to Committee on Government Operations &amp; Security.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preventing water-sewer districts from prohibiting multipurpose fire sprinkler systems; and adding a new section to chapter 57.02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57</w:t>
      </w:r>
      <w:r>
        <w:rPr/>
        <w:t xml:space="preserve">.</w:t>
      </w:r>
      <w:r>
        <w:t xml:space="preserve">02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 water-sewer district may not prohibit the use of multipurpose fire sprinkler systems that are part of a structure's plumbing system for single-family homes and town houses as defined by the state residential building code or require a separate water meter or backflow preventer for the multipurpose fire sprinkler system.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71876cb359594f78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6284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510cc5333401e" /><Relationship Type="http://schemas.openxmlformats.org/officeDocument/2006/relationships/footer" Target="/word/footer.xml" Id="R71876cb359594f78" /></Relationships>
</file>