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448df6011e4c86" /></Relationships>
</file>

<file path=word/document.xml><?xml version="1.0" encoding="utf-8"?>
<w:document xmlns:w="http://schemas.openxmlformats.org/wordprocessingml/2006/main">
  <w:body>
    <w:p>
      <w:r>
        <w:t>S-3998.1</w:t>
      </w:r>
    </w:p>
    <w:p>
      <w:pPr>
        <w:jc w:val="center"/>
      </w:pPr>
      <w:r>
        <w:t>_______________________________________________</w:t>
      </w:r>
    </w:p>
    <w:p/>
    <w:p>
      <w:pPr>
        <w:jc w:val="center"/>
      </w:pPr>
      <w:r>
        <w:rPr>
          <w:b/>
        </w:rPr>
        <w:t>SUBSTITUTE SENATE BILL 6254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Senators Sheldon, Bailey, Rivers, Roach, O'Ban, Hill, Becker, Miloscia, Angel, Warnick, Honeyford, Padden, Hobbs, Pearson, Hargrove, Braun, Dammeier, Fain, Parlette, Hewitt, Schoesler, Baumgartner, Ericksen, Rolfes, Conway, Mullet, and Chase)</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Purple Heart license plates; amending RCW 46.18.280, 46.68.425, and 43.60A.140; reenacting and amending RCW 46.17.220;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280</w:t>
      </w:r>
      <w:r>
        <w:rPr/>
        <w:t xml:space="preserve"> and 2011 c 332 s 8 are each amended to read as follows:</w:t>
      </w:r>
    </w:p>
    <w:p>
      <w:pPr>
        <w:spacing w:before="0" w:after="0" w:line="408" w:lineRule="exact"/>
        <w:ind w:left="0" w:right="0" w:firstLine="576"/>
        <w:jc w:val="left"/>
      </w:pPr>
      <w:r>
        <w:rPr/>
        <w:t xml:space="preserve">(1) A registered owner who has been awarded a Purple Heart medal by any branch of the United States armed forces, including the merchant marines and the women's air forces service pilots may apply to the department for special license plates for use on </w:t>
      </w:r>
      <w:r>
        <w:t>((</w:t>
      </w:r>
      <w:r>
        <w:rPr>
          <w:strike/>
        </w:rPr>
        <w:t xml:space="preserve">only one</w:t>
      </w:r>
      <w:r>
        <w:t>))</w:t>
      </w:r>
      <w:r>
        <w:rPr/>
        <w:t xml:space="preserve"> </w:t>
      </w:r>
      <w:r>
        <w:rPr>
          <w:u w:val="single"/>
        </w:rPr>
        <w:t xml:space="preserve">a</w:t>
      </w:r>
      <w:r>
        <w:rPr/>
        <w:t xml:space="preserve">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wounded during one of this nation's wars or conflicts identified in RCW 41.04.005;</w:t>
      </w:r>
    </w:p>
    <w:p>
      <w:pPr>
        <w:spacing w:before="0" w:after="0" w:line="408" w:lineRule="exact"/>
        <w:ind w:left="0" w:right="0" w:firstLine="576"/>
        <w:jc w:val="left"/>
      </w:pPr>
      <w:r>
        <w:rPr/>
        <w:t xml:space="preserve">(c) Have received an honorable discharge from the United States armed forces;</w:t>
      </w:r>
    </w:p>
    <w:p>
      <w:pPr>
        <w:spacing w:before="0" w:after="0" w:line="408" w:lineRule="exact"/>
        <w:ind w:left="0" w:right="0" w:firstLine="576"/>
        <w:jc w:val="left"/>
      </w:pPr>
      <w:r>
        <w:rPr/>
        <w:t xml:space="preserve">(d) Provide a copy of the armed forces document showing the recipient was awarded the Purple Heart medal;</w:t>
      </w:r>
    </w:p>
    <w:p>
      <w:pPr>
        <w:spacing w:before="0" w:after="0" w:line="408" w:lineRule="exact"/>
        <w:ind w:left="0" w:right="0" w:firstLine="576"/>
        <w:jc w:val="left"/>
      </w:pPr>
      <w:r>
        <w:rPr/>
        <w:t xml:space="preserve">(e) Be recorded as the registered owner of the motor vehicle on which the Purple Heart </w:t>
      </w:r>
      <w:r>
        <w:t>((</w:t>
      </w:r>
      <w:r>
        <w:rPr>
          <w:strike/>
        </w:rPr>
        <w:t xml:space="preserve">survivor</w:t>
      </w:r>
      <w:r>
        <w:t>))</w:t>
      </w:r>
      <w:r>
        <w:rPr/>
        <w:t xml:space="preserve"> license plate or plates will be displayed; and</w:t>
      </w:r>
    </w:p>
    <w:p>
      <w:pPr>
        <w:spacing w:before="0" w:after="0" w:line="408" w:lineRule="exact"/>
        <w:ind w:left="0" w:right="0" w:firstLine="576"/>
        <w:jc w:val="left"/>
      </w:pPr>
      <w:r>
        <w:rPr/>
        <w:t xml:space="preserve">(f) Pay all fees and taxes required by law for registering the motor vehicle.</w:t>
      </w:r>
    </w:p>
    <w:p>
      <w:pPr>
        <w:spacing w:before="0" w:after="0" w:line="408" w:lineRule="exact"/>
        <w:ind w:left="0" w:right="0" w:firstLine="576"/>
        <w:jc w:val="left"/>
      </w:pPr>
      <w:r>
        <w:rPr/>
        <w:t xml:space="preserve">(2) Purple Heart license plates must be issued without the payment of any special license plate fee </w:t>
      </w:r>
      <w:r>
        <w:rPr>
          <w:u w:val="single"/>
        </w:rPr>
        <w:t xml:space="preserve">for one motor vehicle</w:t>
      </w:r>
      <w:r>
        <w:rPr>
          <w:u w:val="single"/>
        </w:rPr>
        <w:t xml:space="preserve">. </w:t>
      </w:r>
      <w:r>
        <w:rPr>
          <w:u w:val="single"/>
        </w:rPr>
        <w:t xml:space="preserve">For other motor vehicles, qualified applicants may purchase Purple Heart license plates for the fee required under RCW 46.17.220(1)(p)</w:t>
      </w:r>
      <w:r>
        <w:rPr/>
        <w:t xml:space="preserve">.</w:t>
      </w:r>
    </w:p>
    <w:p>
      <w:pPr>
        <w:spacing w:before="0" w:after="0" w:line="408" w:lineRule="exact"/>
        <w:ind w:left="0" w:right="0" w:firstLine="576"/>
        <w:jc w:val="left"/>
      </w:pPr>
      <w:r>
        <w:rPr/>
        <w:t xml:space="preserve">(3) Purple Heart license plates may be issued to the surviving spouse or domestic partner of a Purple Heart recipient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(4) A Purple Heart license plate or plates may be transferred from one motor vehicle to another motor vehicle owned by the Purple Heart recipient or the surviving spouse or domestic partner as described in subsection (3) of this section upon application to the department, county auditor or other agent, or subagent appointed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w:t>
            </w:r>
            <w:r>
              <w:rPr>
                <w:rFonts w:ascii="Times New Roman" w:hAnsi="Times New Roman"/>
                <w:sz w:val="16"/>
                <w:u w:val="single"/>
              </w:rPr>
              <w:t xml:space="preserve">Purple Heart</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425</w:t>
      </w:r>
      <w:r>
        <w:rPr/>
        <w:t xml:space="preserve"> and 2014 c 77 s 3 are each amended to read as follows:</w:t>
      </w:r>
    </w:p>
    <w:p>
      <w:pPr>
        <w:spacing w:before="0" w:after="0" w:line="408" w:lineRule="exact"/>
        <w:ind w:left="0" w:right="0" w:firstLine="576"/>
        <w:jc w:val="left"/>
      </w:pPr>
      <w:r>
        <w:rPr/>
        <w:t xml:space="preserve">(1) The department shall:</w:t>
      </w:r>
    </w:p>
    <w:p>
      <w:pPr>
        <w:spacing w:before="0" w:after="120" w:line="408" w:lineRule="exact"/>
        <w:ind w:left="0" w:right="0" w:firstLine="576"/>
        <w:jc w:val="left"/>
      </w:pPr>
      <w:r>
        <w:rPr/>
        <w:t xml:space="preserve">(a) Collect special license plate fees established under RCW 46.17.220;</w:t>
      </w:r>
    </w:p>
    <w:p>
      <w:pPr>
        <w:spacing w:before="0" w:after="12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120" w:line="408" w:lineRule="exact"/>
        <w:ind w:left="0" w:right="0" w:firstLine="576"/>
        <w:jc w:val="left"/>
      </w:pPr>
      <w:r>
        <w:rPr/>
        <w:t xml:space="preserve">(c) Remit the remaining proceeds to the custody of the state treasurer with a proper identifying detailed report.</w:t>
      </w:r>
    </w:p>
    <w:p>
      <w:pPr>
        <w:spacing w:before="0" w:after="12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fees to the following accounts by special license plate type:</w:t>
      </w:r>
    </w:p>
    <w:tbl>
      <w:tblPr>
        <w:tblW w:w="0" w:type="auto"/>
        <w:jc w:val="center"/>
        <w:tcMar>
          <w:tblCellMar>
            <w:top w:w="0" w:type="dxa"/>
          </w:tblCellMar>
        </w:tcMar>
        <w:tcMar>
          <w:tblCellMar>
            <w:left w:w="0" w:type="dxa"/>
            <w:right w:w="0" w:type="dxa"/>
          </w:tblCellMar>
        </w:tcMar>
      </w:tblPr>
      <w:tblGrid>
        <w:gridCol w:w="1620"/>
        <w:gridCol w:w="1620"/>
        <w:gridCol w:w="1620"/>
      </w:tblGrid>
      <w:tr>
        <w:tc>
          <w:tcPr>
            <w:tcW w:w="1620" w:type="dxa"/>
            <w:vAlign w:val="top"/>
          </w:tcPr>
          <w:p>
            <w:pPr>
              <w:spacing w:before="0" w:after="0" w:line="408" w:lineRule="exact"/>
              <w:ind w:left="0" w:right="0" w:firstLine="0"/>
              <w:jc w:val="left"/>
            </w:pPr>
            <w:r>
              <w:rPr>
                <w:rFonts w:ascii="Times New Roman" w:hAnsi="Times New Roman"/>
                <w:sz w:val="16"/>
              </w:rPr>
              <w:t xml:space="preserve">SPECIAL LICENSE PLATE TYPE</w:t>
            </w:r>
          </w:p>
        </w:tc>
        <w:tc>
          <w:tcPr>
            <w:tcW w:w="1620" w:type="dxa"/>
            <w:vAlign w:val="top"/>
          </w:tcPr>
          <w:p>
            <w:pPr>
              <w:spacing w:before="0" w:after="0" w:line="408" w:lineRule="exact"/>
              <w:ind w:left="0" w:right="0" w:firstLine="0"/>
              <w:jc w:val="left"/>
            </w:pPr>
            <w:r>
              <w:rPr>
                <w:rFonts w:ascii="Times New Roman" w:hAnsi="Times New Roman"/>
                <w:sz w:val="16"/>
              </w:rPr>
              <w:t xml:space="preserve">ACCOUNT</w:t>
            </w:r>
          </w:p>
        </w:tc>
        <w:tc>
          <w:tcPr>
            <w:tcW w:w="1620" w:type="dxa"/>
            <w:vAlign w:val="top"/>
          </w:tcPr>
          <w:p>
            <w:pPr>
              <w:spacing w:before="0" w:after="0" w:line="408" w:lineRule="exact"/>
              <w:ind w:left="0" w:right="0" w:firstLine="0"/>
              <w:jc w:val="left"/>
            </w:pPr>
            <w:r>
              <w:rPr>
                <w:rFonts w:ascii="Times New Roman" w:hAnsi="Times New Roman"/>
                <w:sz w:val="16"/>
              </w:rPr>
              <w:t xml:space="preserve">CONDITIONS FOR USE OF FUNDS</w:t>
            </w:r>
          </w:p>
        </w:tc>
      </w:tr>
      <w:tr>
        <w:tc>
          <w:tcPr>
            <w:tcW w:w="1620" w:type="dxa"/>
            <w:vAlign w:val="top"/>
          </w:tcPr>
          <w:p>
            <w:pPr>
              <w:spacing w:before="0" w:after="0" w:line="408" w:lineRule="exact"/>
              <w:ind w:left="0" w:right="0" w:firstLine="0"/>
              <w:jc w:val="left"/>
            </w:pPr>
            <w:r>
              <w:rPr>
                <w:rFonts w:ascii="Times New Roman" w:hAnsi="Times New Roman"/>
                <w:sz w:val="16"/>
              </w:rPr>
              <w:t xml:space="preserve">Armed forces</w:t>
            </w:r>
          </w:p>
        </w:tc>
        <w:tc>
          <w:tcPr>
            <w:tcW w:w="1620" w:type="dxa"/>
            <w:vAlign w:val="top"/>
          </w:tcPr>
          <w:p>
            <w:pPr>
              <w:spacing w:before="0" w:after="0" w:line="408" w:lineRule="exact"/>
              <w:ind w:left="0" w:right="0" w:firstLine="0"/>
              <w:jc w:val="left"/>
            </w:pPr>
            <w:r>
              <w:rPr>
                <w:rFonts w:ascii="Times New Roman" w:hAnsi="Times New Roman"/>
                <w:sz w:val="16"/>
              </w:rPr>
              <w:t xml:space="preserve">RCW 43.60A.140</w:t>
            </w:r>
          </w:p>
        </w:tc>
        <w:tc>
          <w:tcPr>
            <w:tcW w:w="1620" w:type="dxa"/>
            <w:vAlign w:val="top"/>
          </w:tcPr>
          <w:p>
            <w:pPr>
              <w:spacing w:before="0" w:after="0" w:line="408" w:lineRule="exact"/>
              <w:ind w:left="0" w:right="0" w:firstLine="0"/>
              <w:jc w:val="left"/>
            </w:pPr>
            <w:r>
              <w:t>((</w:t>
            </w:r>
            <w:r>
              <w:rPr>
                <w:rFonts w:ascii="Times New Roman" w:hAnsi="Times New Roman"/>
                <w:strike/>
                <w:sz w:val="16"/>
              </w:rPr>
              <w:t xml:space="preserve">N/A</w:t>
            </w:r>
            <w:r>
              <w:t>))</w:t>
            </w:r>
            <w:r>
              <w:rPr>
                <w:rFonts w:ascii="Times New Roman" w:hAnsi="Times New Roman"/>
                <w:sz w:val="16"/>
              </w:rPr>
              <w:t xml:space="preserve"> </w:t>
            </w:r>
            <w:r>
              <w:rPr>
                <w:rFonts w:ascii="Times New Roman" w:hAnsi="Times New Roman"/>
                <w:sz w:val="16"/>
                <w:u w:val="single"/>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1620" w:type="dxa"/>
            <w:vAlign w:val="top"/>
          </w:tcPr>
          <w:p>
            <w:pPr>
              <w:spacing w:before="0" w:after="0" w:line="408" w:lineRule="exact"/>
              <w:ind w:left="0" w:right="0" w:firstLine="0"/>
              <w:jc w:val="left"/>
            </w:pPr>
            <w:r>
              <w:rPr>
                <w:rFonts w:ascii="Times New Roman" w:hAnsi="Times New Roman"/>
                <w:sz w:val="16"/>
              </w:rPr>
              <w:t xml:space="preserve">RCW 43.70.327</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by the department of health for efforts consistent with the breast, cervical, and colon health program</w:t>
            </w:r>
          </w:p>
        </w:tc>
      </w:tr>
      <w:tr>
        <w:tc>
          <w:tcPr>
            <w:tcW w:w="16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Must be used only for the department of fish and wildlife's endangered wildlife program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1620" w:type="dxa"/>
            <w:vAlign w:val="top"/>
          </w:tcPr>
          <w:p>
            <w:pPr>
              <w:spacing w:before="0" w:after="0" w:line="408" w:lineRule="exact"/>
              <w:ind w:left="0" w:right="0" w:firstLine="0"/>
              <w:jc w:val="left"/>
            </w:pPr>
            <w:r>
              <w:rPr>
                <w:rFonts w:ascii="Times New Roman" w:hAnsi="Times New Roman"/>
                <w:sz w:val="16"/>
              </w:rPr>
              <w:t xml:space="preserve">RCW 43.121.100</w:t>
            </w:r>
          </w:p>
        </w:tc>
        <w:tc>
          <w:tcPr>
            <w:tcW w:w="1620" w:type="dxa"/>
            <w:vAlign w:val="top"/>
          </w:tcPr>
          <w:p>
            <w:pPr>
              <w:spacing w:before="0" w:after="0" w:line="408" w:lineRule="exact"/>
              <w:ind w:left="0" w:right="0" w:firstLine="0"/>
              <w:jc w:val="left"/>
            </w:pPr>
            <w:r>
              <w:rPr>
                <w:rFonts w:ascii="Times New Roman" w:hAnsi="Times New Roman"/>
                <w:sz w:val="16"/>
              </w:rPr>
              <w:t xml:space="preserve">As specified in RCW 43.121.100</w:t>
            </w:r>
          </w:p>
        </w:tc>
      </w:tr>
      <w:tr>
        <w:tc>
          <w:tcPr>
            <w:tcW w:w="1620" w:type="dxa"/>
            <w:vAlign w:val="top"/>
          </w:tcPr>
          <w:p>
            <w:pPr>
              <w:spacing w:before="0" w:after="0" w:line="408" w:lineRule="exact"/>
              <w:ind w:left="0" w:right="0" w:firstLine="0"/>
              <w:jc w:val="left"/>
            </w:pPr>
            <w:r>
              <w:rPr>
                <w:rFonts w:ascii="Times New Roman" w:hAnsi="Times New Roman"/>
                <w:sz w:val="16"/>
                <w:u w:val="single"/>
              </w:rPr>
              <w:t xml:space="preserve">Purple Heart</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RCW 43.60A.140</w:t>
            </w:r>
          </w:p>
        </w:tc>
        <w:tc>
          <w:tcPr>
            <w:tcW w:w="1620" w:type="dxa"/>
            <w:vAlign w:val="top"/>
          </w:tcPr>
          <w:p>
            <w:pPr>
              <w:spacing w:before="0" w:after="0" w:line="408" w:lineRule="exact"/>
              <w:ind w:left="0" w:right="0" w:firstLine="0"/>
              <w:jc w:val="left"/>
            </w:pPr>
            <w:r>
              <w:rPr>
                <w:rFonts w:ascii="Times New Roman" w:hAnsi="Times New Roman"/>
                <w:sz w:val="16"/>
                <w:u w:val="single"/>
              </w:rPr>
              <w:t xml:space="preserve">As specified in RCW 43.60A.140(4)</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1620" w:type="dxa"/>
            <w:vAlign w:val="top"/>
          </w:tcPr>
          <w:p>
            <w:pPr>
              <w:spacing w:before="0" w:after="0" w:line="408" w:lineRule="exact"/>
              <w:ind w:left="0" w:right="0" w:firstLine="0"/>
              <w:jc w:val="left"/>
            </w:pPr>
            <w:r>
              <w:rPr>
                <w:rFonts w:ascii="Times New Roman" w:hAnsi="Times New Roman"/>
                <w:sz w:val="16"/>
              </w:rPr>
              <w:t xml:space="preserve">RCW 79A.05.059</w:t>
            </w:r>
          </w:p>
        </w:tc>
        <w:tc>
          <w:tcPr>
            <w:tcW w:w="1620" w:type="dxa"/>
            <w:vAlign w:val="top"/>
          </w:tcPr>
          <w:p>
            <w:pPr>
              <w:spacing w:before="0" w:after="0" w:line="408" w:lineRule="exact"/>
              <w:ind w:left="0" w:right="0" w:firstLine="0"/>
              <w:jc w:val="left"/>
            </w:pPr>
            <w:r>
              <w:rPr>
                <w:rFonts w:ascii="Times New Roman" w:hAnsi="Times New Roman"/>
                <w:sz w:val="16"/>
              </w:rPr>
              <w:t xml:space="preserve">Provide public educational opportunities and enhancement of Washington state parks</w:t>
            </w:r>
          </w:p>
        </w:tc>
      </w:tr>
      <w:tr>
        <w:tc>
          <w:tcPr>
            <w:tcW w:w="16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Only for the department of fish and wildlife's game species management activities</w:t>
            </w:r>
          </w:p>
        </w:tc>
      </w:tr>
      <w:tr>
        <w:tc>
          <w:tcPr>
            <w:tcW w:w="16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1620" w:type="dxa"/>
            <w:vAlign w:val="top"/>
          </w:tcPr>
          <w:p>
            <w:pPr>
              <w:spacing w:before="0" w:after="0" w:line="408" w:lineRule="exact"/>
              <w:ind w:left="0" w:right="0" w:firstLine="0"/>
              <w:jc w:val="left"/>
            </w:pPr>
            <w:r>
              <w:rPr>
                <w:rFonts w:ascii="Times New Roman" w:hAnsi="Times New Roman"/>
                <w:sz w:val="16"/>
              </w:rPr>
              <w:t xml:space="preserve">RCW 77.12.170</w:t>
            </w:r>
          </w:p>
        </w:tc>
        <w:tc>
          <w:tcPr>
            <w:tcW w:w="1620" w:type="dxa"/>
            <w:vAlign w:val="top"/>
          </w:tcPr>
          <w:p>
            <w:pPr>
              <w:spacing w:before="0" w:after="0" w:line="408" w:lineRule="exact"/>
              <w:ind w:left="0" w:right="0" w:firstLine="0"/>
              <w:jc w:val="left"/>
            </w:pPr>
            <w:r>
              <w:rPr>
                <w:rFonts w:ascii="Times New Roman" w:hAnsi="Times New Roman"/>
                <w:sz w:val="16"/>
              </w:rPr>
              <w:t xml:space="preserve">Dedicated to the department of fish and wildlife's watchable wildlife activities, as defined in RCW 77.32.560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140</w:t>
      </w:r>
      <w:r>
        <w:rPr/>
        <w:t xml:space="preserve"> and 2010 c 161 s 1106 are each amended to read as follows:</w:t>
      </w:r>
    </w:p>
    <w:p>
      <w:pPr>
        <w:spacing w:before="0" w:after="0" w:line="408" w:lineRule="exact"/>
        <w:ind w:left="0" w:right="0" w:firstLine="576"/>
        <w:jc w:val="left"/>
      </w:pPr>
      <w:r>
        <w:rPr/>
        <w:t xml:space="preserve">(1) The veterans stewardship account is created in the custody of the state treasurer. Disbursements of funds must be on the authorization of the director or the director's designee, and only for the purposes stated in subsection (4) of this section. In order to maintain an effective expenditure and revenue control, funds are subject in all respects to chapter 43.88 RCW, but no appropriation is required to permit expenditure of the funds.</w:t>
      </w:r>
    </w:p>
    <w:p>
      <w:pPr>
        <w:spacing w:before="0" w:after="0" w:line="408" w:lineRule="exact"/>
        <w:ind w:left="0" w:right="0" w:firstLine="576"/>
        <w:jc w:val="left"/>
      </w:pPr>
      <w:r>
        <w:rPr/>
        <w:t xml:space="preserve">(2) The department may request and accept nondedicated contributions, grants, or gifts in cash or otherwise, including funds generated by the issuance of the armed forces license plate collection under chapter 46.18 RCW.</w:t>
      </w:r>
    </w:p>
    <w:p>
      <w:pPr>
        <w:spacing w:before="0" w:after="0" w:line="408" w:lineRule="exact"/>
        <w:ind w:left="0" w:right="0" w:firstLine="576"/>
        <w:jc w:val="left"/>
      </w:pPr>
      <w:r>
        <w:rPr/>
        <w:t xml:space="preserve">(3) All receipts from the sale of armed forces license plates </w:t>
      </w:r>
      <w:r>
        <w:rPr>
          <w:u w:val="single"/>
        </w:rPr>
        <w:t xml:space="preserve">and Purple Heart license plates</w:t>
      </w:r>
      <w:r>
        <w:rPr/>
        <w:t xml:space="preserve"> as required under RCW </w:t>
      </w:r>
      <w:r>
        <w:t>((</w:t>
      </w:r>
      <w:r>
        <w:rPr>
          <w:strike/>
        </w:rPr>
        <w:t xml:space="preserve">46.17.220(1)(b)</w:t>
      </w:r>
      <w:r>
        <w:t>))</w:t>
      </w:r>
      <w:r>
        <w:rPr/>
        <w:t xml:space="preserve"> </w:t>
      </w:r>
      <w:r>
        <w:rPr>
          <w:u w:val="single"/>
        </w:rPr>
        <w:t xml:space="preserve">46.68.425(2)</w:t>
      </w:r>
      <w:r>
        <w:rPr/>
        <w:t xml:space="preserve"> must be deposited into the veterans stewardship account.</w:t>
      </w:r>
    </w:p>
    <w:p>
      <w:pPr>
        <w:spacing w:before="0" w:after="0" w:line="408" w:lineRule="exact"/>
        <w:ind w:left="0" w:right="0" w:firstLine="576"/>
        <w:jc w:val="left"/>
      </w:pPr>
      <w:r>
        <w:rPr/>
        <w:t xml:space="preserve">(4) All moneys deposited into the veterans stewardship account must be used by the department for activities that benefit veterans or their families, including but not limited to, providing programs and services for homeless veterans; establishing memorials honoring veterans; and maintaining a future state veterans' cemetery. Funds from the account may not be used to supplant existing funds received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d0420f30d00f4b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2d30c6e0924bd2" /><Relationship Type="http://schemas.openxmlformats.org/officeDocument/2006/relationships/footer" Target="/word/footer.xml" Id="Rd0420f30d00f4be9" /></Relationships>
</file>