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6730b6769244cf" /></Relationships>
</file>

<file path=word/document.xml><?xml version="1.0" encoding="utf-8"?>
<w:document xmlns:w="http://schemas.openxmlformats.org/wordprocessingml/2006/main">
  <w:body>
    <w:p>
      <w:r>
        <w:t>Z-0727.1</w:t>
      </w:r>
    </w:p>
    <w:p>
      <w:pPr>
        <w:jc w:val="center"/>
      </w:pPr>
      <w:r>
        <w:t>_______________________________________________</w:t>
      </w:r>
    </w:p>
    <w:p/>
    <w:p>
      <w:pPr>
        <w:jc w:val="center"/>
      </w:pPr>
      <w:r>
        <w:rPr>
          <w:b/>
        </w:rPr>
        <w:t>SENATE BILL 6251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and Hargrove; by request of Office of Financial Management</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19.146.205, 43.330.418, 70.95.165, 72.72.030, and 72.72.050; reenacting and amending RCW 43.84.092; creating a new section; decodifying RCW 43.83.310; repealing RCW 38.40.220, 43.63A.315, 43.72.902, 43.83.310, 43.83.330, 43.83.320, 43.83.350, 43.330.094, 43.83.370, 43.167.040, 43.330.415, and 70.146.100;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2015 c 229 s 11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must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association, or limited liability company the name, address, date of birth, and social security number of each general partner, principal, or member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(f)(i)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must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must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must deposit the moneys in the financial services regulation fund, unless the consumer services account is created as a dedicated, nonappropriated account, in which case the director must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must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must take the form of a range of bond amounts which vary according to the annual loan origination volume of the licensee. The bond must run to the state of Washington as obligee, and must run first to the benefit of the borrower and then to the benefit of the state and any person or persons who suffer loss by reason of the applicant's or its loan originator's violation of any provision of this chapter or rules adopted under this chapter. The bond must be conditioned that the obligor as licensee will faithfully conform to and abide by this chapter and all rules adopted under this chapter, and must reimburse all persons who suffer loss by reason of a violation of this chapter or rules adopted under this chapter. Borrowers must be given priority over the state and other persons. The state and other third parties must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must be continuous and may be canceled by the surety upon the surety giving written notice to the director of its intent to cancel the bond. The cancellation must be effective thirty days after the notice is received by the director. Whether or not the bond is renewed, continued, reinstated, reissued, or otherwise extended, replaced, or modified, including increases or decreases in the penal sum, it is considered one continuous obligation, and the surety upon the bond is not liable in an aggregate or cumulative amount exceeding the penal sum set forth on the face of the bond. In no event is the penal sum, or any portion thereof, at two or more points in time be added together in determining the surety's liability. The bond is not </w:t>
      </w:r>
      <w:r>
        <w:t>((</w:t>
      </w:r>
      <w:r>
        <w:rPr>
          <w:strike/>
        </w:rPr>
        <w:t xml:space="preserve">be [is not]</w:t>
      </w:r>
      <w:r>
        <w:t>))</w:t>
      </w:r>
      <w:r>
        <w:rPr/>
        <w:t xml:space="preserve"> liable for any penalties imposed on the licensee</w:t>
      </w:r>
      <w:r>
        <w:t>((</w:t>
      </w:r>
      <w:r>
        <w:rPr>
          <w:strike/>
        </w:rPr>
        <w:t xml:space="preserve">,</w:t>
      </w:r>
      <w:r>
        <w:t>))</w:t>
      </w:r>
      <w:r>
        <w:rPr/>
        <w:t xml:space="preserv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must waive the requirements for such a bond. </w:t>
      </w:r>
      <w:r>
        <w:t>((</w:t>
      </w:r>
      <w:r>
        <w:rPr>
          <w:strike/>
        </w:rPr>
        <w:t xml:space="preserve">The mortgage recovery fund account is created in the custody of the state treasurer. The director is authorized to charge fees to fund the account. All fees charged under this section, except those retained by the director for administration of the account,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account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account; and the amount necessary to administer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418</w:t>
      </w:r>
      <w:r>
        <w:rPr/>
        <w:t xml:space="preserve"> and 2011 1st sp.s. c 43 s 609 are each amended to read as follows:</w:t>
      </w:r>
    </w:p>
    <w:p>
      <w:pPr>
        <w:spacing w:before="0" w:after="0" w:line="408" w:lineRule="exact"/>
        <w:ind w:left="0" w:right="0" w:firstLine="576"/>
        <w:jc w:val="left"/>
      </w:pPr>
      <w:r>
        <w:rPr/>
        <w:t xml:space="preserve">(1) The governor may take all appropriate steps to seek federal funding in order to maximize investment in broadband deployment and adoption in the state of Washington. Such steps may include the designation of a broadband deployment and adoption coordinator; review and prioritization of grant applications by public and private entities as directed by the national telecommunications and information administration, the rural utility services, and the federal communications commission; disbursement of block grant funding; and direction to state agencies to provide staffing as necessary to carry out this section. The authority for overseeing broadband adoption and deployment efforts on behalf of the state is vested in the department.</w:t>
      </w:r>
    </w:p>
    <w:p>
      <w:pPr>
        <w:spacing w:before="0" w:after="0" w:line="408" w:lineRule="exact"/>
        <w:ind w:left="0" w:right="0" w:firstLine="576"/>
        <w:jc w:val="left"/>
      </w:pPr>
      <w:r>
        <w:rPr/>
        <w:t xml:space="preserve">(2) The department may apply for federal funds and other grants or donations, </w:t>
      </w:r>
      <w:r>
        <w:t>((</w:t>
      </w:r>
      <w:r>
        <w:rPr>
          <w:strike/>
        </w:rPr>
        <w:t xml:space="preserve">may deposit such funds in the Washington community technology opportunity account created in RCW 43.330.415,</w:t>
      </w:r>
      <w:r>
        <w:t>))</w:t>
      </w:r>
      <w:r>
        <w:rPr/>
        <w:t xml:space="preserve"> may oversee implementation of federally funded or mandated broadband programs for the state</w:t>
      </w:r>
      <w:r>
        <w:rPr>
          <w:u w:val="single"/>
        </w:rPr>
        <w:t xml:space="preserve">,</w:t>
      </w:r>
      <w:r>
        <w:rPr/>
        <w:t xml:space="preserve"> and may adopt rules to administer the programs. These programs may include but are not limited to the following:</w:t>
      </w:r>
    </w:p>
    <w:p>
      <w:pPr>
        <w:spacing w:before="0" w:after="0" w:line="408" w:lineRule="exact"/>
        <w:ind w:left="0" w:right="0" w:firstLine="576"/>
        <w:jc w:val="left"/>
      </w:pPr>
      <w:r>
        <w:rPr/>
        <w:t xml:space="preserve">(a) Engaging in periodic statewide surveys of residents, businesses, and nonprofit organizations concerning their use and adoption of high-speed internet, computer, and related information technology for the purpose of identifying barriers to adoption;</w:t>
      </w:r>
    </w:p>
    <w:p>
      <w:pPr>
        <w:spacing w:before="0" w:after="0" w:line="408" w:lineRule="exact"/>
        <w:ind w:left="0" w:right="0" w:firstLine="576"/>
        <w:jc w:val="left"/>
      </w:pPr>
      <w:r>
        <w:rPr/>
        <w:t xml:space="preserve">(b) Working with communities to identify barriers to the adoption of broadband service and related information technology services by individuals, nonprofit organizations, and businesses;</w:t>
      </w:r>
    </w:p>
    <w:p>
      <w:pPr>
        <w:spacing w:before="0" w:after="0" w:line="408" w:lineRule="exact"/>
        <w:ind w:left="0" w:right="0" w:firstLine="576"/>
        <w:jc w:val="left"/>
      </w:pPr>
      <w:r>
        <w:rPr/>
        <w:t xml:space="preserve">(c) Identifying broadband demand opportunities in communities by working cooperatively with local organizations, government agencies, and businesses;</w:t>
      </w:r>
    </w:p>
    <w:p>
      <w:pPr>
        <w:spacing w:before="0" w:after="0" w:line="408" w:lineRule="exact"/>
        <w:ind w:left="0" w:right="0" w:firstLine="576"/>
        <w:jc w:val="left"/>
      </w:pPr>
      <w:r>
        <w:rPr/>
        <w:t xml:space="preserve">(d) Creating, implementing, and administering programs to improve computer ownership, technology literacy, digital media literacy, and high-speed internet access for populations not currently served or underserved in the state. This may include programs to provide low-income families, community-based nonprofit organizations, nonprofit entities, and public entities that work in partnership with nonprofit entities to provide increased access to computers and broadband, with reduced cost internet access;</w:t>
      </w:r>
    </w:p>
    <w:p>
      <w:pPr>
        <w:spacing w:before="0" w:after="0" w:line="408" w:lineRule="exact"/>
        <w:ind w:left="0" w:right="0" w:firstLine="576"/>
        <w:jc w:val="left"/>
      </w:pPr>
      <w:r>
        <w:rPr/>
        <w:t xml:space="preserve">(e) Administering the community technology opportunity program under RCW 43.330.412 </w:t>
      </w:r>
      <w:r>
        <w:t>((</w:t>
      </w:r>
      <w:r>
        <w:rPr>
          <w:strike/>
        </w:rPr>
        <w:t xml:space="preserve">and 43.330.415</w:t>
      </w:r>
      <w:r>
        <w:t>))</w:t>
      </w:r>
      <w:r>
        <w:rPr/>
        <w:t xml:space="preserve">;</w:t>
      </w:r>
    </w:p>
    <w:p>
      <w:pPr>
        <w:spacing w:before="0" w:after="0" w:line="408" w:lineRule="exact"/>
        <w:ind w:left="0" w:right="0" w:firstLine="576"/>
        <w:jc w:val="left"/>
      </w:pPr>
      <w:r>
        <w:rPr/>
        <w:t xml:space="preserve">(f) Creating additional programs to spur the development of high-speed internet resources in the state;</w:t>
      </w:r>
    </w:p>
    <w:p>
      <w:pPr>
        <w:spacing w:before="0" w:after="0" w:line="408" w:lineRule="exact"/>
        <w:ind w:left="0" w:right="0" w:firstLine="576"/>
        <w:jc w:val="left"/>
      </w:pPr>
      <w:r>
        <w:rPr/>
        <w:t xml:space="preserve">(g) Establishing technology literacy and digital inclusion programs and establishing low-cost hardware, software, and internet purchasing programs that may include allowing participation by community technology programs in state purchasing programs; and</w:t>
      </w:r>
    </w:p>
    <w:p>
      <w:pPr>
        <w:spacing w:before="0" w:after="0" w:line="408" w:lineRule="exact"/>
        <w:ind w:left="0" w:right="0" w:firstLine="576"/>
        <w:jc w:val="left"/>
      </w:pPr>
      <w:r>
        <w:rPr/>
        <w:t xml:space="preserve">(h) Developing technology loan programs targeting small businesses or businesses located in unserved and underserved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t>((</w:t>
      </w:r>
      <w:r>
        <w:rPr>
          <w:strike/>
        </w:rPr>
        <w:t xml:space="preserve">the public health services account,</w:t>
      </w:r>
      <w:r>
        <w:t>))</w:t>
      </w:r>
      <w:r>
        <w:rPr/>
        <w:t xml:space="preserve"> the high capacity transportation account, the state higher education construction account, </w:t>
      </w:r>
      <w:r>
        <w:t>((</w:t>
      </w:r>
      <w:r>
        <w:rPr>
          <w:strike/>
        </w:rPr>
        <w:t xml:space="preserve">the higher education construction account,</w:t>
      </w:r>
      <w:r>
        <w:t>))</w:t>
      </w:r>
      <w:r>
        <w:rPr/>
        <w:t xml:space="preserve">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w:t>
      </w:r>
      <w:r>
        <w:t>((</w:t>
      </w:r>
      <w:r>
        <w:rPr>
          <w:strike/>
        </w:rPr>
        <w:t xml:space="preserve">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w:t>
      </w:r>
      <w:r>
        <w:t>((</w:t>
      </w:r>
      <w:r>
        <w:rPr>
          <w:strike/>
        </w:rPr>
        <w:t xml:space="preserve">There is hereby created, in the state treasury, an institutional impact account.</w:t>
      </w:r>
      <w:r>
        <w:t>))</w:t>
      </w:r>
      <w:r>
        <w:rPr/>
        <w:t xml:space="preserve"> The secretary of social and health services may reimburse political subdivisions for criminal justice costs incurred directly as a result of crimes committed by offenders residing in an institution as defined </w:t>
      </w:r>
      <w:r>
        <w:t>((</w:t>
      </w:r>
      <w:r>
        <w:rPr>
          <w:strike/>
        </w:rPr>
        <w:t xml:space="preserve">herein</w:t>
      </w:r>
      <w:r>
        <w:t>))</w:t>
      </w:r>
      <w:r>
        <w:rPr/>
        <w:t xml:space="preserve"> </w:t>
      </w:r>
      <w:r>
        <w:rPr>
          <w:u w:val="single"/>
        </w:rPr>
        <w:t xml:space="preserve">in RCW 72.72.020</w:t>
      </w:r>
      <w:r>
        <w:rPr/>
        <w:t xml:space="preserve"> under the jurisdiction of the secretary of social and health services. </w:t>
      </w:r>
      <w:r>
        <w:t>((</w:t>
      </w:r>
      <w:r>
        <w:rPr>
          <w:strike/>
        </w:rPr>
        <w:t xml:space="preserve">Such reimbursement shall be made to the extent funds are available from the institutional impact account.</w:t>
      </w:r>
      <w:r>
        <w:t>))</w:t>
      </w:r>
      <w:r>
        <w:rPr/>
        <w:t xml:space="preserve">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w:t>
      </w:r>
      <w:r>
        <w:t>((</w:t>
      </w:r>
      <w:r>
        <w:rPr>
          <w:strike/>
        </w:rPr>
        <w:t xml:space="preserve">herein</w:t>
      </w:r>
      <w:r>
        <w:t>))</w:t>
      </w:r>
      <w:r>
        <w:rPr/>
        <w:t xml:space="preserve"> </w:t>
      </w:r>
      <w:r>
        <w:rPr>
          <w:u w:val="single"/>
        </w:rPr>
        <w:t xml:space="preserve">in RCW 72.72.020</w:t>
      </w:r>
      <w:r>
        <w:rPr/>
        <w:t xml:space="preserve"> under the jurisdiction of the secretary of corrections. Such reimbursement shall be made to the extent funds are available </w:t>
      </w:r>
      <w:r>
        <w:t>((</w:t>
      </w:r>
      <w:r>
        <w:rPr>
          <w:strike/>
        </w:rPr>
        <w:t xml:space="preserve">from the institutional impact account</w:t>
      </w:r>
      <w:r>
        <w:t>))</w:t>
      </w:r>
      <w:r>
        <w:rPr/>
        <w:t xml:space="preserve"> </w:t>
      </w:r>
      <w:r>
        <w:rPr>
          <w:u w:val="single"/>
        </w:rPr>
        <w:t xml:space="preserve">from appropriations</w:t>
      </w:r>
      <w:r>
        <w:rPr/>
        <w:t xml:space="preserve">.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050</w:t>
      </w:r>
      <w:r>
        <w:rPr/>
        <w:t xml:space="preserve"> and 1983 c 279 s 4 are each amended to read as follows:</w:t>
      </w:r>
    </w:p>
    <w:p>
      <w:pPr>
        <w:spacing w:before="0" w:after="0" w:line="408" w:lineRule="exact"/>
        <w:ind w:left="0" w:right="0" w:firstLine="576"/>
        <w:jc w:val="left"/>
      </w:pPr>
      <w:r>
        <w:rPr/>
        <w:t xml:space="preserve">The state shall reimburse cities and counties for their expenses incurred directly as a result of their providing personnel and material pursuant to a contingency plan adopted under RCW 72.02.150. </w:t>
      </w:r>
      <w:r>
        <w:t>((</w:t>
      </w:r>
      <w:r>
        <w:rPr>
          <w:strike/>
        </w:rPr>
        <w:t xml:space="preserve">Reimbursement to cities and counties shall be expended solely from the institutional impact account within funds available in that account.</w:t>
      </w:r>
      <w:r>
        <w:t>))</w:t>
      </w:r>
      <w:r>
        <w:rPr/>
        <w:t xml:space="preserve"> If the costs of reimbursements to cities and counties exceed available funds, the secretary of corrections shall request the legislature to appropriate sufficient funds to enable the secretary of corrections to make full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38</w:t>
      </w:r>
      <w:r>
        <w:rPr/>
        <w:t xml:space="preserve">.</w:t>
      </w:r>
      <w:r>
        <w:t xml:space="preserve">40</w:t>
      </w:r>
      <w:r>
        <w:rPr/>
        <w:t xml:space="preserve">.</w:t>
      </w:r>
      <w:r>
        <w:t xml:space="preserve">220</w:t>
      </w:r>
      <w:r>
        <w:rPr/>
        <w:t xml:space="preserve"> (Military department active state service account) and 2008 c 44 s 1;</w:t>
      </w:r>
    </w:p>
    <w:p>
      <w:pPr>
        <w:spacing w:before="0" w:after="0" w:line="408" w:lineRule="exact"/>
        <w:ind w:left="0" w:right="0" w:firstLine="576"/>
        <w:jc w:val="left"/>
      </w:pPr>
      <w:r>
        <w:t>(2)</w:t>
      </w:r>
      <w:r>
        <w:rPr/>
        <w:t xml:space="preserve">RCW </w:t>
      </w:r>
      <w:r>
        <w:t xml:space="preserve">43</w:t>
      </w:r>
      <w:r>
        <w:rPr/>
        <w:t xml:space="preserve">.</w:t>
      </w:r>
      <w:r>
        <w:t xml:space="preserve">63A</w:t>
      </w:r>
      <w:r>
        <w:rPr/>
        <w:t xml:space="preserve">.</w:t>
      </w:r>
      <w:r>
        <w:t xml:space="preserve">315</w:t>
      </w:r>
      <w:r>
        <w:rPr/>
        <w:t xml:space="preserve"> (Independent youth housing account) and 2007 c 316 s 7;</w:t>
      </w:r>
    </w:p>
    <w:p>
      <w:pPr>
        <w:spacing w:before="0" w:after="0" w:line="408" w:lineRule="exact"/>
        <w:ind w:left="0" w:right="0" w:firstLine="576"/>
        <w:jc w:val="left"/>
      </w:pPr>
      <w:r>
        <w:t>(3)</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(4)</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(5)</w:t>
      </w:r>
      <w:r>
        <w:rPr/>
        <w:t xml:space="preserve">RCW </w:t>
      </w:r>
      <w:r>
        <w:t xml:space="preserve">43</w:t>
      </w:r>
      <w:r>
        <w:rPr/>
        <w:t xml:space="preserve">.</w:t>
      </w:r>
      <w:r>
        <w:t xml:space="preserve">83</w:t>
      </w:r>
      <w:r>
        <w:rPr/>
        <w:t xml:space="preserve">.</w:t>
      </w:r>
      <w:r>
        <w:t xml:space="preserve">330</w:t>
      </w:r>
      <w:r>
        <w:rPr/>
        <w:t xml:space="preserve"> (State and local improvements revolving account</w:t>
      </w:r>
      <w:r>
        <w:rPr>
          <w:rFonts w:ascii="Times New Roman" w:hAnsi="Times New Roman"/>
        </w:rPr>
        <w:t xml:space="preserve">—</w:t>
      </w:r>
      <w:r>
        <w:rPr/>
        <w:t xml:space="preserve">Definitions) and 2015 1st sp.s. c 4 s 34, 1991 sp.s. c 13 s 43, 1985 c 57 s 44, &amp; 1972 ex.s. c 127 s 3;</w:t>
      </w:r>
    </w:p>
    <w:p>
      <w:pPr>
        <w:spacing w:before="0" w:after="0" w:line="408" w:lineRule="exact"/>
        <w:ind w:left="0" w:right="0" w:firstLine="576"/>
        <w:jc w:val="left"/>
      </w:pPr>
      <w:r>
        <w:t>(6)</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(7)</w:t>
      </w:r>
      <w:r>
        <w:rPr/>
        <w:t xml:space="preserve">RCW </w:t>
      </w:r>
      <w:r>
        <w:t xml:space="preserve">43</w:t>
      </w:r>
      <w:r>
        <w:rPr/>
        <w:t xml:space="preserve">.</w:t>
      </w:r>
      <w:r>
        <w:t xml:space="preserve">83</w:t>
      </w:r>
      <w:r>
        <w:rPr/>
        <w:t xml:space="preserve">.</w:t>
      </w:r>
      <w:r>
        <w:t xml:space="preserve">350</w:t>
      </w:r>
      <w:r>
        <w:rPr/>
        <w:t xml:space="preserve"> (State and local improvements revolving account, Waste Disposal Facilities, 1980</w:t>
      </w:r>
      <w:r>
        <w:rPr>
          <w:rFonts w:ascii="Times New Roman" w:hAnsi="Times New Roman"/>
        </w:rPr>
        <w:t xml:space="preserve">—</w:t>
      </w:r>
      <w:r>
        <w:rPr/>
        <w:t xml:space="preserve">Definitions) and 2015 1st sp.s. c 4 s 40, 1991 sp.s. c 13 s 44, 1985 c 57 s 56, &amp; 1980 c 159 s 3;</w:t>
      </w:r>
    </w:p>
    <w:p>
      <w:pPr>
        <w:spacing w:before="0" w:after="0" w:line="408" w:lineRule="exact"/>
        <w:ind w:left="0" w:right="0" w:firstLine="576"/>
        <w:jc w:val="left"/>
      </w:pPr>
      <w:r>
        <w:t>(8)</w:t>
      </w:r>
      <w:r>
        <w:rPr/>
        <w:t xml:space="preserve">RCW </w:t>
      </w:r>
      <w:r>
        <w:t xml:space="preserve">43</w:t>
      </w:r>
      <w:r>
        <w:rPr/>
        <w:t xml:space="preserve">.</w:t>
      </w:r>
      <w:r>
        <w:t xml:space="preserve">330</w:t>
      </w:r>
      <w:r>
        <w:rPr/>
        <w:t xml:space="preserve">.</w:t>
      </w:r>
      <w:r>
        <w:t xml:space="preserve">094</w:t>
      </w:r>
      <w:r>
        <w:rPr/>
        <w:t xml:space="preserve"> (Tourism development and promotion account</w:t>
      </w:r>
      <w:r>
        <w:rPr>
          <w:rFonts w:ascii="Times New Roman" w:hAnsi="Times New Roman"/>
        </w:rPr>
        <w:t xml:space="preserve">—</w:t>
      </w:r>
      <w:r>
        <w:rPr/>
        <w:t xml:space="preserve">Promotion of tourism industry) and 2011 c 5 s 913, 2009 c 565 s 6, 2007 c 228 s 202, 2003 c 153 s 4, &amp; 1997 c 220 s 223;</w:t>
      </w:r>
    </w:p>
    <w:p>
      <w:pPr>
        <w:spacing w:before="0" w:after="0" w:line="408" w:lineRule="exact"/>
        <w:ind w:left="0" w:right="0" w:firstLine="576"/>
        <w:jc w:val="left"/>
      </w:pPr>
      <w:r>
        <w:t>(9)</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w:t>
      </w:r>
    </w:p>
    <w:p>
      <w:pPr>
        <w:spacing w:before="0" w:after="0" w:line="408" w:lineRule="exact"/>
        <w:ind w:left="0" w:right="0" w:firstLine="576"/>
        <w:jc w:val="left"/>
      </w:pPr>
      <w:r>
        <w:t>(10)</w:t>
      </w:r>
      <w:r>
        <w:rPr/>
        <w:t xml:space="preserve">RCW </w:t>
      </w:r>
      <w:r>
        <w:t xml:space="preserve">43</w:t>
      </w:r>
      <w:r>
        <w:rPr/>
        <w:t xml:space="preserve">.</w:t>
      </w:r>
      <w:r>
        <w:t xml:space="preserve">167</w:t>
      </w:r>
      <w:r>
        <w:rPr/>
        <w:t xml:space="preserve">.</w:t>
      </w:r>
      <w:r>
        <w:t xml:space="preserve">040</w:t>
      </w:r>
      <w:r>
        <w:rPr/>
        <w:t xml:space="preserve"> (Community preservation and development authority account) and 2007 c 501 s 7;</w:t>
      </w:r>
    </w:p>
    <w:p>
      <w:pPr>
        <w:spacing w:before="0" w:after="0" w:line="408" w:lineRule="exact"/>
        <w:ind w:left="0" w:right="0" w:firstLine="576"/>
        <w:jc w:val="left"/>
      </w:pPr>
      <w:r>
        <w:t>(11)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 and</w:t>
      </w:r>
    </w:p>
    <w:p>
      <w:pPr>
        <w:spacing w:before="0" w:after="0" w:line="408" w:lineRule="exact"/>
        <w:ind w:left="0" w:right="0" w:firstLine="576"/>
        <w:jc w:val="left"/>
      </w:pPr>
      <w:r>
        <w:t>(12)</w:t>
      </w:r>
      <w:r>
        <w:rPr/>
        <w:t xml:space="preserve">RCW </w:t>
      </w:r>
      <w:r>
        <w:t xml:space="preserve">70</w:t>
      </w:r>
      <w:r>
        <w:rPr/>
        <w:t xml:space="preserve">.</w:t>
      </w:r>
      <w:r>
        <w:t xml:space="preserve">146</w:t>
      </w:r>
      <w:r>
        <w:rPr/>
        <w:t xml:space="preserve">.</w:t>
      </w:r>
      <w:r>
        <w:t xml:space="preserve">100</w:t>
      </w:r>
      <w:r>
        <w:rPr/>
        <w:t xml:space="preserve"> (Water quality capital account</w:t>
      </w:r>
      <w:r>
        <w:rPr>
          <w:rFonts w:ascii="Times New Roman" w:hAnsi="Times New Roman"/>
        </w:rPr>
        <w:t xml:space="preserve">—</w:t>
      </w:r>
      <w:r>
        <w:rPr/>
        <w:t xml:space="preserve">Expenditures) and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310</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eliminated in this act on the effective date of this section shall be transferred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2016.</w:t>
      </w:r>
    </w:p>
    <w:p/>
    <w:p>
      <w:pPr>
        <w:jc w:val="center"/>
      </w:pPr>
      <w:r>
        <w:rPr>
          <w:b/>
        </w:rPr>
        <w:t>--- END ---</w:t>
      </w:r>
    </w:p>
    <w:sectPr>
      <w:pgNumType w:start="1"/>
      <w:footerReference xmlns:r="http://schemas.openxmlformats.org/officeDocument/2006/relationships" r:id="R0d7887f00a89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9202951bb845c2" /><Relationship Type="http://schemas.openxmlformats.org/officeDocument/2006/relationships/footer" Target="/word/footer.xml" Id="R0d7887f00a8949b7" /></Relationships>
</file>