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71c5db33e543f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6248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Energy, Environment &amp; Telecommunications (originally sponsored by Senators Ericksen and Ranker)</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pathway for a transition of eligible coal units; and adding a new chapter to Title 80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coal plant" means a coal-fired electric generation facility that: (a) Had two or fewer generating units as of January 1, 1980, and four generating units as of January 1, 2016; (b) is owned by more than one electrical company as of January 1, 2016; and (c) provides, as a portion of the load served by the coal-fired electric generation facility, electricity paid for in rates by customers in the state of Washington.</w:t>
      </w:r>
    </w:p>
    <w:p>
      <w:pPr>
        <w:spacing w:before="0" w:after="0" w:line="408" w:lineRule="exact"/>
        <w:ind w:left="0" w:right="0" w:firstLine="576"/>
        <w:jc w:val="left"/>
      </w:pPr>
      <w:r>
        <w:rPr/>
        <w:t xml:space="preserve">(2) "Eligible coal unit" means any generating unit of an eligible coal plant.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may, after conducting an adjudicative proceeding under chapters 34.05 and 80.04 RCW, authorize an electrical company to place amounts from one or more regulatory liabilities into a retirement account established pursuant to RCW 80.04.350 to cover decommissioning and remediation costs of eligible coal units that commenced commercial operations before January 1, 1980.</w:t>
      </w:r>
    </w:p>
    <w:p>
      <w:pPr>
        <w:spacing w:before="0" w:after="0" w:line="408" w:lineRule="exact"/>
        <w:ind w:left="0" w:right="0" w:firstLine="576"/>
        <w:jc w:val="left"/>
      </w:pPr>
      <w:r>
        <w:rPr/>
        <w:t xml:space="preserve">(2) Regulatory liabilities placed in a retirement account pursuant to subsection (1) of this section must: (a) Not be used for any purpose other than the funding and recovery of prudently incurred decommissioning and remediation costs for such eligible coal units; (b) except as provided in RCW 80.04.350, not be reduced, altered, impaired, or limited from the date of commission approval of the inclusion of the regulatory liabilities in the retirement account until all prudently incurred decommissioning and remediation costs for such coal units are recovered or paid in full; and (c) provide that any remaining funds in the retirement account, after recovery by the electrical company of all prudently incurred decommissioning and remediation costs for such eligible coal units, be returned to customers.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an electrical company proposes a closure date or retires from service an eligible coal unit that commenced commercial operations before January 1, 1980, prior to December 31, 2022, then the commission may not authorize the electrical company to use regulatory liabilities placed in a retirement account for decommissioning and remediation costs pursuant to section 2 of this act.</w:t>
      </w:r>
    </w:p>
    <w:p>
      <w:pPr>
        <w:spacing w:before="0" w:after="0" w:line="408" w:lineRule="exact"/>
        <w:ind w:left="0" w:right="0" w:firstLine="576"/>
        <w:jc w:val="left"/>
      </w:pPr>
      <w:r>
        <w:rPr/>
        <w:t xml:space="preserve">(2) Subsection (1) of this section does not apply if an electrical company demonstrates to the commission that a decision to retire from service an eligible coal unit that commenced commercial operations before January 1, 1980, prior to December 31, 2022:</w:t>
      </w:r>
    </w:p>
    <w:p>
      <w:pPr>
        <w:spacing w:before="0" w:after="0" w:line="408" w:lineRule="exact"/>
        <w:ind w:left="0" w:right="0" w:firstLine="576"/>
        <w:jc w:val="left"/>
      </w:pPr>
      <w:r>
        <w:rPr/>
        <w:t xml:space="preserve">(a) Is prudent as determined by evidence showing the continued operation of an eligible coal unit is economically or technologically unfeasible or requires a capital investment that is outside the scope of a prudent improvement or investment or the eligible coal unit has reached the end of its useful life; or</w:t>
      </w:r>
    </w:p>
    <w:p>
      <w:pPr>
        <w:spacing w:before="0" w:after="0" w:line="408" w:lineRule="exact"/>
        <w:ind w:left="0" w:right="0" w:firstLine="576"/>
        <w:jc w:val="left"/>
      </w:pPr>
      <w:r>
        <w:rPr/>
        <w:t xml:space="preserve">(b) Does not meet the standard in (a) of this subsection but is attributable to the actions of a co-owner or operator of the eligible coal unit over whom the electrical company does not exercise control.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80</w:t>
      </w:r>
      <w:r>
        <w:rPr/>
        <w:t xml:space="preserve"> RCW</w:t>
      </w:r>
      <w:r>
        <w:rPr/>
        <w:t xml:space="preserve">.</w:t>
      </w:r>
    </w:p>
    <w:p/>
    <w:p>
      <w:pPr>
        <w:jc w:val="center"/>
      </w:pPr>
      <w:r>
        <w:rPr>
          <w:b/>
        </w:rPr>
        <w:t>--- END ---</w:t>
      </w:r>
    </w:p>
    <w:sectPr>
      <w:pgNumType w:start="1"/>
      <w:footerReference xmlns:r="http://schemas.openxmlformats.org/officeDocument/2006/relationships" r:id="R386a79a85c8a435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6248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72d65652ec4b2c" /><Relationship Type="http://schemas.openxmlformats.org/officeDocument/2006/relationships/footer" Target="/word/footer.xml" Id="R386a79a85c8a4352" /></Relationships>
</file>