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2426cdfa24190" /></Relationships>
</file>

<file path=word/document.xml><?xml version="1.0" encoding="utf-8"?>
<w:document xmlns:w="http://schemas.openxmlformats.org/wordprocessingml/2006/main">
  <w:body>
    <w:p>
      <w:r>
        <w:t>S-4641.1</w:t>
      </w:r>
    </w:p>
    <w:p>
      <w:pPr>
        <w:jc w:val="center"/>
      </w:pPr>
      <w:r>
        <w:t>_______________________________________________</w:t>
      </w:r>
    </w:p>
    <w:p/>
    <w:p>
      <w:pPr>
        <w:jc w:val="center"/>
      </w:pPr>
      <w:r>
        <w:rPr>
          <w:b/>
        </w:rPr>
        <w:t>SECOND SUBSTITUTE SENATE BILL 6244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Litzow, Fain, Dammeier, Rivers, Becker, Hill, and Bailey)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amending RCW 28A.300.042, 28A.300.505, 28A.600.490, 28A.600.015, 28A.600.020, 28A.300.507, 28A.405.106, 28A.405.120, 28A.180.040, and 28A.180.090; adding new sections to chapter 28A.235 RCW; adding a new section to chapter 28A.320 RCW; adding new sections to chapter 28A.345 RCW; adding a new section to chapter 28A.415 RCW; adding new sections to chapter 28A.657 RCW; creating new sections;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2018-19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2018-19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2017,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under RCW 28A.300.042</w:t>
      </w:r>
      <w:r>
        <w:rPr/>
        <w:t xml:space="preserve">; </w:t>
      </w:r>
      <w:r>
        <w:t>((</w:t>
      </w:r>
      <w:r>
        <w:rPr>
          <w:strike/>
        </w:rPr>
        <w:t xml:space="preserve">and</w:t>
      </w:r>
      <w:r>
        <w:t>))</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r>
        <w:rPr>
          <w:u w:val="single"/>
        </w:rPr>
        <w:t xml:space="preserve">; and</w:t>
      </w:r>
    </w:p>
    <w:p>
      <w:pPr>
        <w:spacing w:before="0" w:after="0" w:line="408" w:lineRule="exact"/>
        <w:ind w:left="0" w:right="0" w:firstLine="576"/>
        <w:jc w:val="left"/>
      </w:pPr>
      <w:r>
        <w:rPr>
          <w:u w:val="single"/>
        </w:rPr>
        <w:t xml:space="preserve">(c) Starting no later than the 2017-18 school year, data on the certificate of academic achievement established in RCW 28A.655.061 and the certificate of individual achievement established in RCW 28A.155.045. This data must be disaggregated as required under RCW 28A.300.042 and by disability categories in the smallest units allowable by law that do not identify an individual student</w:t>
      </w:r>
      <w:r>
        <w:rPr/>
        <w:t xml:space="preserve">.</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NUTRITION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and 203 of this act unless the context clearly requires otherwise.</w:t>
      </w:r>
    </w:p>
    <w:p>
      <w:pPr>
        <w:spacing w:before="0" w:after="0" w:line="408" w:lineRule="exact"/>
        <w:ind w:left="0" w:right="0" w:firstLine="576"/>
        <w:jc w:val="left"/>
      </w:pPr>
      <w:r>
        <w:rPr/>
        <w:t xml:space="preserve">(1) "High-needs school" means any public school that: (a) Has enrollment of seventy percent or more students eligible for free or reduced-price meals in the prior school year; or (b)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(2) "Public school" has the same meaning as provided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No more than five hundred thousand dollars may be appropriated to the superintendent of public instruction to administer one-time start-up allocation grants of up to six thousand dollars to high-needs schools that want to expand nutrition opportunities on a first-come, first-served basis. The grant must be used for the costs associated with launching a program that provides nutrition during the school day including, but not limited to, equipment purchases, training, additional staff costs, and janitorial services.</w:t>
      </w:r>
    </w:p>
    <w:p>
      <w:pPr>
        <w:spacing w:before="0" w:after="0" w:line="408" w:lineRule="exact"/>
        <w:ind w:left="0" w:right="0" w:firstLine="576"/>
        <w:jc w:val="left"/>
      </w:pPr>
      <w:r>
        <w:rPr/>
        <w:t xml:space="preserve">(b) Beginning in the school year that the high-needs school receives the grant, the school must offer nutrition during the school day to each student and provide adequate time for students to eat.</w:t>
      </w:r>
    </w:p>
    <w:p>
      <w:pPr>
        <w:spacing w:before="0" w:after="0" w:line="408" w:lineRule="exact"/>
        <w:ind w:left="0" w:right="0" w:firstLine="576"/>
        <w:jc w:val="left"/>
      </w:pPr>
      <w:r>
        <w:rPr/>
        <w:t xml:space="preserve">(c) All public schools are encouraged to expand nutrition opportunities.</w:t>
      </w:r>
    </w:p>
    <w:p>
      <w:pPr>
        <w:spacing w:before="0" w:after="0" w:line="408" w:lineRule="exact"/>
        <w:ind w:left="0" w:right="0" w:firstLine="576"/>
        <w:jc w:val="left"/>
      </w:pPr>
      <w:r>
        <w:rPr/>
        <w:t xml:space="preserve">(2)(a) Each high-needs school receiving a grant may determine the nutrition service model that best suits its students. Service models include, but are not limited to:</w:t>
      </w:r>
    </w:p>
    <w:p>
      <w:pPr>
        <w:spacing w:before="0" w:after="0" w:line="408" w:lineRule="exact"/>
        <w:ind w:left="0" w:right="0" w:firstLine="576"/>
        <w:jc w:val="left"/>
      </w:pPr>
      <w:r>
        <w:rPr/>
        <w:t xml:space="preserve">(i) "Grab and go," where easy-to-eat foods are available for students to take at the start of the school day or in between morning classes;</w:t>
      </w:r>
    </w:p>
    <w:p>
      <w:pPr>
        <w:spacing w:before="0" w:after="0" w:line="408" w:lineRule="exact"/>
        <w:ind w:left="0" w:right="0" w:firstLine="576"/>
        <w:jc w:val="left"/>
      </w:pPr>
      <w:r>
        <w:rPr/>
        <w:t xml:space="preserve">(ii) "Second chance nutrition," where foods are available during recess, a break, or later in the morning, for students who are not hungry first thing in the morning, or who arrive late to school; and</w:t>
      </w:r>
    </w:p>
    <w:p>
      <w:pPr>
        <w:spacing w:before="0" w:after="0" w:line="408" w:lineRule="exact"/>
        <w:ind w:left="0" w:right="0" w:firstLine="576"/>
        <w:jc w:val="left"/>
      </w:pPr>
      <w:r>
        <w:rPr/>
        <w:t xml:space="preserve">(iii) "Nutrition in the classroom," where food is served in the classroom, often during homeroom or first period.</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food, the period of time designated for the consumption of food may be provided during instructional hours under RCW 28A.150.205.</w:t>
      </w:r>
    </w:p>
    <w:p>
      <w:pPr>
        <w:spacing w:before="0" w:after="0" w:line="408" w:lineRule="exact"/>
        <w:ind w:left="0" w:right="0" w:firstLine="576"/>
        <w:jc w:val="left"/>
      </w:pPr>
      <w:r>
        <w:rPr/>
        <w:t xml:space="preserve">(3) Any rules adopted by the state board of education must permit student participation in nutrition opportunities during instructional hours.</w:t>
      </w:r>
    </w:p>
    <w:p>
      <w:pPr>
        <w:spacing w:before="0" w:after="0" w:line="408" w:lineRule="exact"/>
        <w:ind w:left="0" w:right="0" w:firstLine="576"/>
        <w:jc w:val="left"/>
      </w:pPr>
      <w:r>
        <w:rPr/>
        <w:t xml:space="preserve">(4) All programs with nutrition during the school day must comply with federal meal patterns and nutrition standards for the program under 42 U.S.C. Sec. 1773 and any federal regulations implementing that program.</w:t>
      </w:r>
    </w:p>
    <w:p>
      <w:pPr>
        <w:spacing w:before="0" w:after="0" w:line="408" w:lineRule="exact"/>
        <w:ind w:left="0" w:right="0" w:firstLine="576"/>
        <w:jc w:val="left"/>
      </w:pPr>
      <w:r>
        <w:rPr/>
        <w:t xml:space="preserve">(5)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superintendent of public instruction subject to funds appropriated specifically for this purpose shall:</w:t>
      </w:r>
    </w:p>
    <w:p>
      <w:pPr>
        <w:spacing w:before="0" w:after="0" w:line="408" w:lineRule="exact"/>
        <w:ind w:left="0" w:right="0" w:firstLine="576"/>
        <w:jc w:val="left"/>
      </w:pPr>
      <w:r>
        <w:rPr/>
        <w:t xml:space="preserve">(1) Before January 2, 2017, develop and distribute procedures and guidelines for the implementation of section 202 of this act, which must be in compliance with federal regulations governing the program under 42 U.S.C. Sec. 1773. These guidelines must include ways schools and districts can solicit and consider the input of families regarding implementation and continued operation of programs providing nutrition during the school day.</w:t>
      </w:r>
    </w:p>
    <w:p>
      <w:pPr>
        <w:spacing w:before="0" w:after="0" w:line="408" w:lineRule="exact"/>
        <w:ind w:left="0" w:right="0" w:firstLine="576"/>
        <w:jc w:val="left"/>
      </w:pPr>
      <w:r>
        <w:rPr/>
        <w:t xml:space="preserve">(2) Dedicate staff within the office to offer training and technical and marketing assistance to all public schools and school districts related to providing nutrition during the school day, including assistance with various funding options available to high-needs schools, including the community eligibility provision under 42 U.S.C. Sec. 1759a(a)(1), programs under provision two of the national school lunch act, and claims for reimbursement under 42 U.S.C. Sec. 1773.</w:t>
      </w:r>
    </w:p>
    <w:p>
      <w:pPr>
        <w:spacing w:before="0" w:after="0" w:line="408" w:lineRule="exact"/>
        <w:ind w:left="0" w:right="0" w:firstLine="576"/>
        <w:jc w:val="left"/>
      </w:pPr>
      <w:r>
        <w:rPr/>
        <w:t xml:space="preserve">(3) In fulfilling its responsibilities under this section, collaborate with nonprofit organizations knowledgeable about equity, the opportunity gap, hunger and food security issues, and best practices for improving student access to nutrition during the school day. The office shall maintain a list of opportunities for philanthropic support of school meal programs and make the list available to schools interested in expanding nutrition opportunities.</w:t>
      </w:r>
    </w:p>
    <w:p>
      <w:pPr>
        <w:spacing w:before="0" w:after="0" w:line="408" w:lineRule="exact"/>
        <w:ind w:left="0" w:right="0" w:firstLine="576"/>
        <w:jc w:val="left"/>
      </w:pPr>
      <w:r>
        <w:rPr/>
        <w:t xml:space="preserve">(4) Incorporate the annual collection of information about nutrition delivery models into existing data systems and make the information publicly available.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shall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this section and RCW 28A.600.010,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shall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w:t>
      </w:r>
      <w:r>
        <w:t>((</w:t>
      </w:r>
      <w:r>
        <w:rPr>
          <w:strike/>
        </w:rPr>
        <w:t xml:space="preserve">28A.600.460,</w:t>
      </w:r>
      <w:r>
        <w:t>))</w:t>
      </w:r>
      <w:r>
        <w:rPr/>
        <w:t xml:space="preserve"> 28A.635.020, </w:t>
      </w:r>
      <w:r>
        <w:t>((</w:t>
      </w:r>
      <w:r>
        <w:rPr>
          <w:strike/>
        </w:rPr>
        <w:t xml:space="preserve">28A.600.020,</w:t>
      </w:r>
      <w:r>
        <w:t>))</w:t>
      </w:r>
      <w:r>
        <w:rPr/>
        <w:t xml:space="preserve">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one calendar year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one calendar year limitation provided in this subsection. The superintendent of public instruction shall adopt rules outlining the limited circumstances in which a school may petition to exceed the one calendar year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and appropriate to the regular education services a student would have received without the exclusionary discipline. Example alternative settings include alternative high schools, one-on-one tutoring, and online learning.</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w:t>
      </w:r>
      <w:r>
        <w:t>((</w:t>
      </w:r>
      <w:r>
        <w:rPr>
          <w:strike/>
        </w:rPr>
        <w:t xml:space="preserve">and</w:t>
      </w:r>
      <w:r>
        <w:t>))</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r>
        <w:rPr>
          <w:u w:val="single"/>
        </w:rPr>
        <w:t xml:space="preserve">; and</w:t>
      </w:r>
    </w:p>
    <w:p>
      <w:pPr>
        <w:spacing w:before="0" w:after="0" w:line="408" w:lineRule="exact"/>
        <w:ind w:left="0" w:right="0" w:firstLine="576"/>
        <w:jc w:val="left"/>
      </w:pPr>
      <w:r>
        <w:rPr>
          <w:u w:val="single"/>
        </w:rPr>
        <w:t xml:space="preserve">(g) Analyze the ability of data to move between school districts when a student with an individualized education program or a plan developed under section 504 of the rehabilitation act of 1973 moves between districts and consider ways to improve the movement of this data</w:t>
      </w:r>
      <w:r>
        <w:rPr/>
        <w:t xml:space="preserve">.</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w:t>
      </w:r>
      <w:r>
        <w:rPr>
          <w:u w:val="single"/>
        </w:rPr>
        <w:t xml:space="preserve">The superintendent of public instruction shall submit a report to the education committees of the legislature by September 1, 2017, with the analyses by the K-12 data governance group under subsection (3)(g) of this section.</w:t>
      </w:r>
    </w:p>
    <w:p>
      <w:pPr>
        <w:spacing w:before="0" w:after="0" w:line="408" w:lineRule="exact"/>
        <w:ind w:left="0" w:right="0" w:firstLine="576"/>
        <w:jc w:val="left"/>
      </w:pPr>
      <w:r>
        <w:rPr>
          <w:u w:val="single"/>
        </w:rPr>
        <w:t xml:space="preserve">(8)</w:t>
      </w:r>
      <w:r>
        <w:rPr/>
        <w:t xml:space="preserve">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504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2020-21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Subject to funds appropriated specifically for this purpose, 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504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SHORT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act may be known and cited as the closing educational opportunity gap act.</w:t>
      </w:r>
    </w:p>
    <w:p/>
    <w:p>
      <w:pPr>
        <w:jc w:val="center"/>
      </w:pPr>
      <w:r>
        <w:rPr>
          <w:b/>
        </w:rPr>
        <w:t>--- END ---</w:t>
      </w:r>
    </w:p>
    <w:sectPr>
      <w:pgNumType w:start="1"/>
      <w:footerReference xmlns:r="http://schemas.openxmlformats.org/officeDocument/2006/relationships" r:id="R79e8e533bf274d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b64811fb74374" /><Relationship Type="http://schemas.openxmlformats.org/officeDocument/2006/relationships/footer" Target="/word/footer.xml" Id="R79e8e533bf274d68" /></Relationships>
</file>