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15696c826d40a2" /></Relationships>
</file>

<file path=word/document.xml><?xml version="1.0" encoding="utf-8"?>
<w:document xmlns:w="http://schemas.openxmlformats.org/wordprocessingml/2006/main">
  <w:body>
    <w:p>
      <w:r>
        <w:t>S-3450.3</w:t>
      </w:r>
    </w:p>
    <w:p>
      <w:pPr>
        <w:jc w:val="center"/>
      </w:pPr>
      <w:r>
        <w:t>_______________________________________________</w:t>
      </w:r>
    </w:p>
    <w:p/>
    <w:p>
      <w:pPr>
        <w:jc w:val="center"/>
      </w:pPr>
      <w:r>
        <w:rPr>
          <w:b/>
        </w:rPr>
        <w:t>SENATE BILL 6236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Padden</w:t>
      </w:r>
    </w:p>
    <w:p/>
    <w:p>
      <w:r>
        <w:rPr>
          <w:t xml:space="preserve">Read first time 01/13/16.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24/7 sobriety program; amending RCW 10.21.055, 46.61.5055, 46.20.3101, and 36.28A.390; and repealing RCW 36.28A.310.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2015 2nd sp.s. c 3 s 2 are each amended to read as follows:</w:t>
      </w:r>
    </w:p>
    <w:p>
      <w:pPr>
        <w:spacing w:before="0" w:after="0" w:line="408" w:lineRule="exact"/>
        <w:ind w:left="0" w:right="0" w:firstLine="576"/>
        <w:jc w:val="left"/>
      </w:pPr>
      <w:r>
        <w:rPr/>
        <w:t xml:space="preserve">(1)(a) When any person charged with a violation of RCW 46.61.502, 46.61.504, 46.61.520, or 46.61.522, in which the person has a prior offense as defined in RCW 46.61.5055 and the current offense involves alcohol, is released from custody at arraignment or trial on bail or personal recognizance, the court authorizing the release shall require, as a condition of release that person comply with one of the following four requirements:</w:t>
      </w:r>
    </w:p>
    <w:p>
      <w:pPr>
        <w:spacing w:before="0" w:after="0" w:line="408" w:lineRule="exact"/>
        <w:ind w:left="0" w:right="0" w:firstLine="576"/>
        <w:jc w:val="left"/>
      </w:pPr>
      <w:r>
        <w:rPr/>
        <w:t xml:space="preserve">(i) Have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w:t>
      </w:r>
    </w:p>
    <w:p>
      <w:pPr>
        <w:spacing w:before="0" w:after="0" w:line="408" w:lineRule="exact"/>
        <w:ind w:left="0" w:right="0" w:firstLine="576"/>
        <w:jc w:val="left"/>
      </w:pPr>
      <w:r>
        <w:rPr/>
        <w:t xml:space="preserve">(ii) Comply with 24/7 sobriety program monitoring, as defined in RCW 36.28A.330; or</w:t>
      </w:r>
    </w:p>
    <w:p>
      <w:pPr>
        <w:spacing w:before="0" w:after="0" w:line="408" w:lineRule="exact"/>
        <w:ind w:left="0" w:right="0" w:firstLine="576"/>
        <w:jc w:val="left"/>
      </w:pPr>
      <w:r>
        <w:rPr/>
        <w:t xml:space="preserve">(iii) Have an ignition interlock device on all motor vehicles operated by the person pursuant to (a)(i) of this subsection and submit to 24/7 sobriety program monitoring pursuant to (a)(ii) of this subsection, if available, or alcohol monitoring, at the expense of the person, as provided in RCW 46.61.5055(5) (b) and (c); or</w:t>
      </w:r>
    </w:p>
    <w:p>
      <w:pPr>
        <w:spacing w:before="0" w:after="0" w:line="408" w:lineRule="exact"/>
        <w:ind w:left="0" w:right="0" w:firstLine="576"/>
        <w:jc w:val="left"/>
      </w:pPr>
      <w:r>
        <w:rPr/>
        <w:t xml:space="preserve">(iv) Have an ignition interlock device on all motor vehicles operated by the person and that such person agrees not to operate any motor vehicle without an ignition interlock device as required by the court. Under this subsection (1)(a)(iv), the person must file a sworn statement with the court upon release at arraignment that states the person will not operate any motor vehicle without an ignition interlock device while the ignition interlock restriction is imposed by the court. Such person must also submit to 24/7 sobriety program monitoring pursuant to (a)(ii) of this subsection, if available, or alcohol monitoring, at the expense of the person, as provided in RCW 46.61.5055(5) (b) and (c).</w:t>
      </w:r>
    </w:p>
    <w:p>
      <w:pPr>
        <w:spacing w:before="0" w:after="0" w:line="408" w:lineRule="exact"/>
        <w:ind w:left="0" w:right="0" w:firstLine="576"/>
        <w:jc w:val="left"/>
      </w:pPr>
      <w:r>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t xml:space="preserve">(2)(a)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t xml:space="preserve">(b) If the court authorizes removal of an ignition interlock device imposed under </w:t>
      </w:r>
      <w:r>
        <w:t>((</w:t>
      </w:r>
      <w:r>
        <w:rPr>
          <w:strike/>
        </w:rPr>
        <w:t xml:space="preserve">(a) of this</w:t>
      </w:r>
      <w:r>
        <w:t>))</w:t>
      </w:r>
      <w:r>
        <w:rPr/>
        <w:t xml:space="preserve"> subsection</w:t>
      </w:r>
      <w:r>
        <w:t>((</w:t>
      </w:r>
      <w:r>
        <w:rPr>
          <w:strike/>
        </w:rPr>
        <w:t xml:space="preserve">[,]</w:t>
      </w:r>
      <w:r>
        <w:t>))</w:t>
      </w:r>
      <w:r>
        <w:rPr/>
        <w:t xml:space="preserve"> </w:t>
      </w:r>
      <w:r>
        <w:rPr>
          <w:u w:val="single"/>
        </w:rPr>
        <w:t xml:space="preserve">(1) of this section,</w:t>
      </w:r>
      <w:r>
        <w:rPr/>
        <w:t xml:space="preserve">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2015 2nd sp.s. c 3 s 9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w:t>
      </w:r>
      <w:r>
        <w:t>((</w:t>
      </w:r>
      <w:r>
        <w:rPr>
          <w:strike/>
        </w:rPr>
        <w:t xml:space="preserve">fifteen days of electronic home monitoring</w:t>
      </w:r>
      <w:r>
        <w:t>))</w:t>
      </w:r>
      <w:r>
        <w:rPr/>
        <w:t xml:space="preserve"> </w:t>
      </w:r>
      <w:r>
        <w:rPr>
          <w:u w:val="single"/>
        </w:rPr>
        <w:t xml:space="preserve">a ninety day period of 24/7 sobriety program monitoring</w:t>
      </w:r>
      <w:r>
        <w:rPr/>
        <w:t xml:space="preserve">. The </w:t>
      </w:r>
      <w:r>
        <w:t>((</w:t>
      </w:r>
      <w:r>
        <w:rPr>
          <w:strike/>
        </w:rPr>
        <w:t xml:space="preserve">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w:t>
      </w:r>
      <w:r>
        <w:t>))</w:t>
      </w:r>
      <w:r>
        <w:rPr/>
        <w:t xml:space="preserve"> </w:t>
      </w:r>
      <w:r>
        <w:rPr>
          <w:u w:val="single"/>
        </w:rPr>
        <w:t xml:space="preserve">court may consider the offender's pretrial 24/7 sobriety program monitoring as fulfilling a portion of posttrial sentencing</w:t>
      </w:r>
      <w:r>
        <w:rPr/>
        <w:t xml:space="preserve">;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w:t>
      </w:r>
      <w:r>
        <w:t>((</w:t>
      </w:r>
      <w:r>
        <w:rPr>
          <w:strike/>
        </w:rPr>
        <w:t xml:space="preserve">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w:t>
      </w:r>
      <w:r>
        <w:t>))</w:t>
      </w:r>
      <w:r>
        <w:rPr/>
        <w:t xml:space="preserve"> </w:t>
      </w:r>
      <w:r>
        <w:rPr>
          <w:u w:val="single"/>
        </w:rPr>
        <w:t xml:space="preserve">a one hundred twenty day period of 24/7 sobriety program monitoring. The court may consider the offender's pretrial 24/7 sobriety program testing as fulfilling a portion of posttrial sentencing</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t>((</w:t>
      </w:r>
      <w:r>
        <w:rPr>
          <w:b/>
          <w:strike/>
        </w:rPr>
        <w:t xml:space="preserve">Ignition interlock device substituted for</w:t>
      </w:r>
      <w:r>
        <w:t>))</w:t>
      </w:r>
      <w:r>
        <w:rPr/>
        <w:t xml:space="preserve"> </w:t>
      </w:r>
      <w:r>
        <w:rPr>
          <w:b/>
        </w:rPr>
        <w:t xml:space="preserve">24/7 sobriety program monitoring.</w:t>
      </w:r>
      <w:r>
        <w:rPr/>
        <w:t xml:space="preserve"> In any county or city where a 24/7 sobriety program is available and verified by the Washington association of sheriffs and police chiefs, the court </w:t>
      </w:r>
      <w:r>
        <w:t>((</w:t>
      </w:r>
      <w:r>
        <w:rPr>
          <w:strike/>
        </w:rPr>
        <w:t xml:space="preserve">shall</w:t>
      </w:r>
      <w:r>
        <w:t>))</w:t>
      </w:r>
      <w:r>
        <w:rPr/>
        <w:t xml:space="preserve"> </w:t>
      </w:r>
      <w:r>
        <w:rPr>
          <w:u w:val="single"/>
        </w:rPr>
        <w:t xml:space="preserve">may</w:t>
      </w:r>
      <w:r>
        <w:rPr/>
        <w:t xml:space="preserve">:</w:t>
      </w:r>
    </w:p>
    <w:p>
      <w:pPr>
        <w:spacing w:before="0" w:after="0" w:line="408" w:lineRule="exact"/>
        <w:ind w:left="0" w:right="0" w:firstLine="576"/>
        <w:jc w:val="left"/>
      </w:pPr>
      <w:r>
        <w:rPr/>
        <w:t xml:space="preserve">(i) </w:t>
      </w:r>
      <w:r>
        <w:t>((</w:t>
      </w:r>
      <w:r>
        <w:rPr>
          <w:strike/>
        </w:rPr>
        <w:t xml:space="preserve">Order the person to install and use a functioning ignition interlock or other device in lieu of such period of 24/7 sobriety program monitoring;</w:t>
      </w:r>
    </w:p>
    <w:p>
      <w:pPr>
        <w:spacing w:before="0" w:after="0" w:line="408" w:lineRule="exact"/>
        <w:ind w:left="0" w:right="0" w:firstLine="576"/>
        <w:jc w:val="left"/>
      </w:pPr>
      <w:r>
        <w:rPr>
          <w:strike/>
        </w:rPr>
        <w:t xml:space="preserve">(ii)</w:t>
      </w:r>
      <w:r>
        <w:t>))</w:t>
      </w:r>
      <w:r>
        <w:rPr/>
        <w:t xml:space="preserve"> Order the person to a period of 24/7 sobriety program monitoring </w:t>
      </w:r>
      <w:r>
        <w:rPr>
          <w:u w:val="single"/>
        </w:rPr>
        <w:t xml:space="preserve">in lieu of an ignition interlock device</w:t>
      </w:r>
      <w:r>
        <w:rPr/>
        <w:t xml:space="preserve"> pursuant to </w:t>
      </w:r>
      <w:r>
        <w:rPr>
          <w:u w:val="single"/>
        </w:rPr>
        <w:t xml:space="preserve">(a) of this</w:t>
      </w:r>
      <w:r>
        <w:rPr/>
        <w:t xml:space="preserve"> subsection</w:t>
      </w:r>
      <w:r>
        <w:t>((</w:t>
      </w:r>
      <w:r>
        <w:rPr>
          <w:strike/>
        </w:rPr>
        <w:t xml:space="preserve">s (1) through (3) of this section</w:t>
      </w:r>
      <w:r>
        <w:t>))</w:t>
      </w:r>
      <w:r>
        <w:rPr/>
        <w:t xml:space="preserve">; or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Order the person to </w:t>
      </w:r>
      <w:r>
        <w:t>((</w:t>
      </w:r>
      <w:r>
        <w:rPr>
          <w:strike/>
        </w:rPr>
        <w:t xml:space="preserve">install and use a functioning ignition interlock or other device in addition to</w:t>
      </w:r>
      <w:r>
        <w:t>))</w:t>
      </w:r>
      <w:r>
        <w:rPr/>
        <w:t xml:space="preserve"> a period of 24/7 sobriety program monitoring </w:t>
      </w:r>
      <w:r>
        <w:rPr>
          <w:u w:val="single"/>
        </w:rPr>
        <w:t xml:space="preserve">in addition to installation of an ignition interlock device</w:t>
      </w:r>
      <w:r>
        <w:rPr/>
        <w:t xml:space="preserve"> pursuant to </w:t>
      </w:r>
      <w:r>
        <w:rPr>
          <w:u w:val="single"/>
        </w:rPr>
        <w:t xml:space="preserve">(a) of this</w:t>
      </w:r>
      <w:r>
        <w:rPr/>
        <w:t xml:space="preserve"> subsection</w:t>
      </w:r>
      <w:r>
        <w:t>((</w:t>
      </w:r>
      <w:r>
        <w:rPr>
          <w:strike/>
        </w:rPr>
        <w:t xml:space="preserve">s (1) through (3) of this section</w:t>
      </w:r>
      <w:r>
        <w:t>))</w:t>
      </w:r>
      <w:r>
        <w:rPr/>
        <w:t xml:space="preserve">.</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w:t>
      </w:r>
      <w:r>
        <w:rPr>
          <w:u w:val="single"/>
        </w:rPr>
        <w:t xml:space="preserve">unless the person completes or is enrolled in a ninety day period of 24/7 sobriety program monitoring</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w:t>
      </w:r>
      <w:r>
        <w:rPr>
          <w:u w:val="single"/>
        </w:rPr>
        <w:t xml:space="preserve">unless the person completes or is enrolled in a one hundred twenty day period of 24/7 sobriety program monitoring</w:t>
      </w:r>
      <w:r>
        <w:rPr/>
        <w:t xml:space="preserve">;</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46.20.720(3).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2013 c 3 s 32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twenty-one,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0.08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ninety days</w:t>
      </w:r>
      <w:r>
        <w:rPr>
          <w:u w:val="single"/>
        </w:rPr>
        <w:t xml:space="preserve">, unless the person successfully completes or is enrolled in a pretrial 24/7 sobriety program</w:t>
      </w:r>
      <w:r>
        <w:rPr/>
        <w:t xml:space="preserve">;</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twenty-one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ninety days;</w:t>
      </w:r>
    </w:p>
    <w:p>
      <w:pPr>
        <w:spacing w:before="0" w:after="0" w:line="408" w:lineRule="exact"/>
        <w:ind w:left="0" w:right="0" w:firstLine="576"/>
        <w:jc w:val="left"/>
      </w:pPr>
      <w:r>
        <w:rPr/>
        <w:t xml:space="preserve">(b) For a second or subsequent incident within seven years, revocation or denial for one year or until the person reaches age twenty-one, whichever is longer.</w:t>
      </w:r>
    </w:p>
    <w:p>
      <w:pPr>
        <w:spacing w:before="0" w:after="0" w:line="408" w:lineRule="exact"/>
        <w:ind w:left="0" w:right="0" w:firstLine="576"/>
        <w:jc w:val="left"/>
      </w:pPr>
      <w:r>
        <w:rPr/>
        <w:t xml:space="preserve">(4) The department shall grant credit on a day-for-day basis for any portion of a suspension, revocation, or denial already served under this section for a suspension, revocation, or denial imposed under RCW 46.61.5055 arising out of the same incident.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2015 2nd sp.s. c 3 s 19 are each amended to read as follows:</w:t>
      </w:r>
    </w:p>
    <w:p>
      <w:pPr>
        <w:spacing w:before="0" w:after="0" w:line="408" w:lineRule="exact"/>
        <w:ind w:left="0" w:right="0" w:firstLine="576"/>
        <w:jc w:val="left"/>
      </w:pPr>
      <w:r>
        <w:rPr/>
        <w:t xml:space="preserve">(1) 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t xml:space="preserve">(2) A participant who violates the terms of participation in the 24/7 sobriety program or does not pay the required fees or associated costs pretrial or posttrial shall, at a minimum:</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the lesser of two days imprisonment or if posttrial, the entire remaining sentence imposed by the court</w:t>
      </w:r>
      <w:r>
        <w:t>))</w:t>
      </w:r>
      <w:r>
        <w:rPr/>
        <w:t xml:space="preserve"> </w:t>
      </w:r>
      <w:r>
        <w:rPr>
          <w:u w:val="single"/>
        </w:rPr>
        <w:t xml:space="preserve">a minimum of one day imprisonment</w:t>
      </w:r>
      <w:r>
        <w:rPr/>
        <w:t xml:space="preserve"> for a second violation;</w:t>
      </w:r>
    </w:p>
    <w:p>
      <w:pPr>
        <w:spacing w:before="0" w:after="0" w:line="408" w:lineRule="exact"/>
        <w:ind w:left="0" w:right="0" w:firstLine="576"/>
        <w:jc w:val="left"/>
      </w:pPr>
      <w:r>
        <w:rPr/>
        <w:t xml:space="preserve">(c) Serve </w:t>
      </w:r>
      <w:r>
        <w:t>((</w:t>
      </w:r>
      <w:r>
        <w:rPr>
          <w:strike/>
        </w:rPr>
        <w:t xml:space="preserve">the lesser of five days imprisonment or if posttrial, the entire remaining sentence imposed by the court</w:t>
      </w:r>
      <w:r>
        <w:t>))</w:t>
      </w:r>
      <w:r>
        <w:rPr/>
        <w:t xml:space="preserve"> </w:t>
      </w:r>
      <w:r>
        <w:rPr>
          <w:u w:val="single"/>
        </w:rPr>
        <w:t xml:space="preserve">a minimum of three days imprisonment</w:t>
      </w:r>
      <w:r>
        <w:rPr/>
        <w:t xml:space="preserve"> for a third violation;</w:t>
      </w:r>
    </w:p>
    <w:p>
      <w:pPr>
        <w:spacing w:before="0" w:after="0" w:line="408" w:lineRule="exact"/>
        <w:ind w:left="0" w:right="0" w:firstLine="576"/>
        <w:jc w:val="left"/>
      </w:pPr>
      <w:r>
        <w:rPr/>
        <w:t xml:space="preserve">(d) Serve </w:t>
      </w:r>
      <w:r>
        <w:t>((</w:t>
      </w:r>
      <w:r>
        <w:rPr>
          <w:strike/>
        </w:rPr>
        <w:t xml:space="preserve">the lesser of ten days imprisonment or if posttrial, the entire remaining sentence imposed by the court</w:t>
      </w:r>
      <w:r>
        <w:t>))</w:t>
      </w:r>
      <w:r>
        <w:rPr/>
        <w:t xml:space="preserve"> </w:t>
      </w:r>
      <w:r>
        <w:rPr>
          <w:u w:val="single"/>
        </w:rPr>
        <w:t xml:space="preserve">a minimum of five days imprisonment</w:t>
      </w:r>
      <w:r>
        <w:rPr/>
        <w:t xml:space="preserve"> for a fourth violation; and</w:t>
      </w:r>
    </w:p>
    <w:p>
      <w:pPr>
        <w:spacing w:before="0" w:after="0" w:line="408" w:lineRule="exact"/>
        <w:ind w:left="0" w:right="0" w:firstLine="576"/>
        <w:jc w:val="left"/>
      </w:pPr>
      <w:r>
        <w:rPr/>
        <w:t xml:space="preserve">(e) </w:t>
      </w:r>
      <w:r>
        <w:rPr>
          <w:u w:val="single"/>
        </w:rPr>
        <w:t xml:space="preserve">Serve a minimum of seven days imprisonment f</w:t>
      </w:r>
      <w:r>
        <w:rPr/>
        <w:t xml:space="preserve">or a fifth or subsequent violation </w:t>
      </w:r>
      <w:r>
        <w:t>((</w:t>
      </w:r>
      <w:r>
        <w:rPr>
          <w:strike/>
        </w:rPr>
        <w:t xml:space="preserve">pretrial, the participant shall abide by the order of the court. For posttrial participants, the participant shall serve the entire remaining sentence imposed by the court</w:t>
      </w:r>
      <w:r>
        <w:t>))</w:t>
      </w:r>
      <w:r>
        <w:rPr/>
        <w:t xml:space="preserve">.</w:t>
      </w:r>
    </w:p>
    <w:p>
      <w:pPr>
        <w:spacing w:before="0" w:after="0" w:line="408" w:lineRule="exact"/>
        <w:ind w:left="0" w:right="0" w:firstLine="576"/>
        <w:jc w:val="left"/>
      </w:pPr>
      <w:r>
        <w:rPr/>
        <w:t xml:space="preserve">(3) The court may remove a participant from the 24/7 sobriety program at any time for noncompliance with the terms of participation.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
      <w:pPr>
        <w:jc w:val="center"/>
      </w:pPr>
      <w:r>
        <w:rPr>
          <w:b/>
        </w:rPr>
        <w:t>--- END ---</w:t>
      </w:r>
    </w:p>
    <w:sectPr>
      <w:pgNumType w:start="1"/>
      <w:footerReference xmlns:r="http://schemas.openxmlformats.org/officeDocument/2006/relationships" r:id="Ra34057741c9140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5f7ce7b3d849a6" /><Relationship Type="http://schemas.openxmlformats.org/officeDocument/2006/relationships/footer" Target="/word/footer.xml" Id="Ra34057741c9140e7" /></Relationships>
</file>