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2dc472eb3468f" /></Relationships>
</file>

<file path=word/document.xml><?xml version="1.0" encoding="utf-8"?>
<w:document xmlns:w="http://schemas.openxmlformats.org/wordprocessingml/2006/main">
  <w:body>
    <w:p>
      <w:r>
        <w:t>S-4566.1</w:t>
      </w:r>
    </w:p>
    <w:p>
      <w:pPr>
        <w:jc w:val="center"/>
      </w:pPr>
      <w:r>
        <w:t>_______________________________________________</w:t>
      </w:r>
    </w:p>
    <w:p/>
    <w:p>
      <w:pPr>
        <w:jc w:val="center"/>
      </w:pPr>
      <w:r>
        <w:rPr>
          <w:b/>
        </w:rPr>
        <w:t>SECOND SUBSTITUTE SENATE BILL 6236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 Padden)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24/7 sobriety program; amending RCW 10.21.055, 46.61.5055, 46.20.3101, and 36.28A.390; and repealing RCW 36.28A.310.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w:t>
      </w:r>
      <w:r>
        <w:rPr>
          <w:u w:val="single"/>
        </w:rPr>
        <w:t xml:space="preserve">or a ninety day period of 24/7 sobriety program monitoring</w:t>
      </w:r>
      <w:r>
        <w:rPr/>
        <w:t xml:space="preserve">. </w:t>
      </w:r>
      <w:r>
        <w:rPr>
          <w:u w:val="single"/>
        </w:rPr>
        <w:t xml:space="preserve">The court may consider the offender's pretrial 24/7 sobriety program monitoring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w:t>
      </w:r>
      <w:r>
        <w:rPr>
          <w:u w:val="single"/>
        </w:rPr>
        <w:t xml:space="preserve">or a one hundred twenty day period of 24/7 sobriety program monitoring. The court may consider the offender's pretrial 24/7 sobriety program testing as fulfilling a portion of posttrial sentencing</w:t>
      </w:r>
      <w:r>
        <w:rPr/>
        <w:t xml:space="preserve">.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 In no circumstances shall the license suspension be for fewer than two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 In no circumstances shall the license suspension be for fewer than four days</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c46172365d0a48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af78bf43447a7" /><Relationship Type="http://schemas.openxmlformats.org/officeDocument/2006/relationships/footer" Target="/word/footer.xml" Id="Rc46172365d0a4895" /></Relationships>
</file>