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f7600f2c8142ad" /></Relationships>
</file>

<file path=word/document.xml><?xml version="1.0" encoding="utf-8"?>
<w:document xmlns:w="http://schemas.openxmlformats.org/wordprocessingml/2006/main">
  <w:body>
    <w:p>
      <w:r>
        <w:t>S-3582.1</w:t>
      </w:r>
    </w:p>
    <w:p>
      <w:pPr>
        <w:jc w:val="center"/>
      </w:pPr>
      <w:r>
        <w:t>_______________________________________________</w:t>
      </w:r>
    </w:p>
    <w:p/>
    <w:p>
      <w:pPr>
        <w:jc w:val="center"/>
      </w:pPr>
      <w:r>
        <w:rPr>
          <w:b/>
        </w:rPr>
        <w:t>SENATE BILL 6211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Dammeier, Rolfes, Fraser, Conway, McCoy, O'Ban, Litzow, Fain, Rivers, Becker, Darneille, McAuliffe, Habib, Chase, and Benton</w:t>
      </w:r>
    </w:p>
    <w:p/>
    <w:p>
      <w:r>
        <w:rPr>
          <w:t xml:space="preserve">Read first time 01/13/16.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exemption of property taxes for nonprofit homeownership development; amending RCW 84.36.812; adding a new section to chapter 84.36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following property is exempt from taxation: Real property owned by a nonprofit entity for the purpose of building on the real property one or more residences to be sold to low-income households, if the nonprofit entity that is the owner of such property sold at least one residence on the property to a low-income household within the ten years immediately preceding the submission of an application for exemption under this section.</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transfers title to the residence on the real property; or</w:t>
      </w:r>
    </w:p>
    <w:p>
      <w:pPr>
        <w:spacing w:before="0" w:after="0" w:line="408" w:lineRule="exact"/>
        <w:ind w:left="0" w:right="0" w:firstLine="576"/>
        <w:jc w:val="left"/>
      </w:pPr>
      <w:r>
        <w:rPr/>
        <w:t xml:space="preserve">(b) The end of the seventh consecutive property tax year for which the property is granted an exemption under this section or, if the nonprofit entity has claimed an extension under subsection (3) of this section, the end of the tenth consecutive property tax year for which the property is granted an exemption under this section.</w:t>
      </w:r>
    </w:p>
    <w:p>
      <w:pPr>
        <w:spacing w:before="0" w:after="0" w:line="408" w:lineRule="exact"/>
        <w:ind w:left="0" w:right="0" w:firstLine="576"/>
        <w:jc w:val="left"/>
      </w:pPr>
      <w:r>
        <w:rPr/>
        <w:t xml:space="preserve">(3) If the nonprofit entity believes that title to the residences on the property will not be transferred by the end of the sixth consecutive property tax year, the nonprofit entity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w:t>
      </w:r>
    </w:p>
    <w:p>
      <w:pPr>
        <w:spacing w:before="0" w:after="0" w:line="408" w:lineRule="exact"/>
        <w:ind w:left="0" w:right="0" w:firstLine="576"/>
        <w:jc w:val="left"/>
      </w:pPr>
      <w:r>
        <w:rPr/>
        <w:t xml:space="preserve">(4)(a) If the nonprofit entity has not transferred title to the residences on the property within the periods described in subsection (2) of this section, the property is disqualified from the exemption.</w:t>
      </w:r>
    </w:p>
    <w:p>
      <w:pPr>
        <w:spacing w:before="0" w:after="0" w:line="408" w:lineRule="exact"/>
        <w:ind w:left="0" w:right="0" w:firstLine="576"/>
        <w:jc w:val="left"/>
      </w:pPr>
      <w:r>
        <w:rPr/>
        <w:t xml:space="preserve">(b) Upon disqualification, the county treasurer must collect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(b) "Nonprofit entity" means a nonprofit as defined in RCW 84.36.800 that is exempt from federal income taxation under 26 U.S.C. Sec. 501(c)(3) of the federal internal revenue code of 1986,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812</w:t>
      </w:r>
      <w:r>
        <w:rPr/>
        <w:t xml:space="preserve"> and 2001 c 185 s 9 are each amended to read as follows:</w:t>
      </w:r>
    </w:p>
    <w:p>
      <w:pPr>
        <w:spacing w:before="0" w:after="0" w:line="408" w:lineRule="exact"/>
        <w:ind w:left="0" w:right="0" w:firstLine="576"/>
        <w:jc w:val="left"/>
      </w:pPr>
      <w:r>
        <w:rPr/>
        <w:t xml:space="preserve">All additional taxes imposed under RCW 84.36.262 </w:t>
      </w:r>
      <w:r>
        <w:t>((</w:t>
      </w:r>
      <w:r>
        <w:rPr>
          <w:strike/>
        </w:rPr>
        <w:t xml:space="preserve">or</w:t>
      </w:r>
      <w:r>
        <w:t>))</w:t>
      </w:r>
      <w:r>
        <w:rPr>
          <w:u w:val="single"/>
        </w:rPr>
        <w:t xml:space="preserve">,</w:t>
      </w:r>
      <w:r>
        <w:rPr/>
        <w:t xml:space="preserve"> 84.36.810 </w:t>
      </w:r>
      <w:r>
        <w:t>((</w:t>
      </w:r>
      <w:r>
        <w:rPr>
          <w:strike/>
        </w:rPr>
        <w:t xml:space="preserve">shall</w:t>
      </w:r>
      <w:r>
        <w:t>))</w:t>
      </w:r>
      <w:r>
        <w:rPr>
          <w:u w:val="single"/>
        </w:rPr>
        <w:t xml:space="preserve">, or section 1 of this act</w:t>
      </w:r>
      <w:r>
        <w:rPr/>
        <w:t xml:space="preserve"> become due and payable by the seller or transferor at the time of sale. The county auditor </w:t>
      </w:r>
      <w:r>
        <w:t>((</w:t>
      </w:r>
      <w:r>
        <w:rPr>
          <w:strike/>
        </w:rPr>
        <w:t xml:space="preserve">shall</w:t>
      </w:r>
      <w:r>
        <w:t>))</w:t>
      </w:r>
      <w:r>
        <w:rPr/>
        <w:t xml:space="preserve"> </w:t>
      </w:r>
      <w:r>
        <w:rPr>
          <w:u w:val="single"/>
        </w:rPr>
        <w:t xml:space="preserve">may</w:t>
      </w:r>
      <w:r>
        <w:rPr/>
        <w:t xml:space="preserve"> not accept an instrument of conveyance unless the additional tax has been paid or the department </w:t>
      </w:r>
      <w:r>
        <w:t>((</w:t>
      </w:r>
      <w:r>
        <w:rPr>
          <w:strike/>
        </w:rPr>
        <w:t xml:space="preserve">of revenue</w:t>
      </w:r>
      <w:r>
        <w:t>))</w:t>
      </w:r>
      <w:r>
        <w:rPr/>
        <w:t xml:space="preserve"> has determined that the property is not subject to RCW 84.36.262 </w:t>
      </w:r>
      <w:r>
        <w:t>((</w:t>
      </w:r>
      <w:r>
        <w:rPr>
          <w:strike/>
        </w:rPr>
        <w:t xml:space="preserve">or</w:t>
      </w:r>
      <w:r>
        <w:t>))</w:t>
      </w:r>
      <w:r>
        <w:rPr>
          <w:u w:val="single"/>
        </w:rPr>
        <w:t xml:space="preserve">,</w:t>
      </w:r>
      <w:r>
        <w:rPr/>
        <w:t xml:space="preserve"> 84.36.810</w:t>
      </w:r>
      <w:r>
        <w:rPr>
          <w:u w:val="single"/>
        </w:rPr>
        <w:t xml:space="preserve">, or section 1 of this act</w:t>
      </w:r>
      <w:r>
        <w:rPr/>
        <w:t xml:space="preserve">. The seller, the transferor, or the new owner may appeal the assessed values upon which the additional tax is based to the county board of equalization in accordance with the provisions of RCW 84.40.038.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in 2016 for collection in 2017 and thereafter.</w:t>
      </w:r>
    </w:p>
    <w:p/>
    <w:p>
      <w:pPr>
        <w:jc w:val="center"/>
      </w:pPr>
      <w:r>
        <w:rPr>
          <w:b/>
        </w:rPr>
        <w:t>--- END ---</w:t>
      </w:r>
    </w:p>
    <w:sectPr>
      <w:pgNumType w:start="1"/>
      <w:footerReference xmlns:r="http://schemas.openxmlformats.org/officeDocument/2006/relationships" r:id="Raffdfa5462d340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21cfeb4fab4160" /><Relationship Type="http://schemas.openxmlformats.org/officeDocument/2006/relationships/footer" Target="/word/footer.xml" Id="Raffdfa5462d340df" /></Relationships>
</file>