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1d7c0577a4ea8" /></Relationships>
</file>

<file path=word/document.xml><?xml version="1.0" encoding="utf-8"?>
<w:document xmlns:w="http://schemas.openxmlformats.org/wordprocessingml/2006/main">
  <w:body>
    <w:p>
      <w:r>
        <w:t>S-3778.1</w:t>
      </w:r>
    </w:p>
    <w:p>
      <w:pPr>
        <w:jc w:val="center"/>
      </w:pPr>
      <w:r>
        <w:t>_______________________________________________</w:t>
      </w:r>
    </w:p>
    <w:p/>
    <w:p>
      <w:pPr>
        <w:jc w:val="center"/>
      </w:pPr>
      <w:r>
        <w:rPr>
          <w:b/>
        </w:rPr>
        <w:t>SENATE BILL 6210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O'Ban, Fain, Darneille, Rivers, Becker, Conway, and Hargrove</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6 of this act unless the context clearly indicates otherwise.</w:t>
      </w:r>
    </w:p>
    <w:p>
      <w:pPr>
        <w:spacing w:before="0" w:after="0" w:line="408" w:lineRule="exact"/>
        <w:ind w:left="0" w:right="0" w:firstLine="576"/>
        <w:jc w:val="left"/>
      </w:pPr>
      <w:r>
        <w:rPr/>
        <w:t xml:space="preserve">(1) "Eligible individual" means individuals entitled to benefits based on blindness or disability under 42 U.S.C. Sec. 401 or 1381 et seq. as amended, and such blindness or disability occurred before the date the individual turned age twenty-six or an individual who has filed a disability certification to the satisfaction of the secretary of the United States treasury.</w:t>
      </w:r>
    </w:p>
    <w:p>
      <w:pPr>
        <w:spacing w:before="0" w:after="0" w:line="408" w:lineRule="exact"/>
        <w:ind w:left="0" w:right="0" w:firstLine="576"/>
        <w:jc w:val="left"/>
      </w:pPr>
      <w:r>
        <w:rPr/>
        <w:t xml:space="preserve">(2) "Governing board" means the achieving a better life experience program governing board in section 4 of this act.</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the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by the investment board paid under RCW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w:t>
      </w:r>
    </w:p>
    <w:p>
      <w:pPr>
        <w:spacing w:before="0" w:after="0" w:line="408" w:lineRule="exact"/>
        <w:ind w:left="0" w:right="0" w:firstLine="576"/>
        <w:jc w:val="left"/>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 The governing board shall account for and report on the investment of self-directed assets or may enter into an agreement with the state investment board for such accounting and reporting under this chapter.</w:t>
      </w:r>
    </w:p>
    <w:p>
      <w:pPr>
        <w:spacing w:before="0" w:after="0" w:line="408" w:lineRule="exact"/>
        <w:ind w:left="0" w:right="0" w:firstLine="576"/>
        <w:jc w:val="left"/>
      </w:pPr>
      <w:r>
        <w:rPr/>
        <w:t xml:space="preserve">(ii)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(iv) The state investment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rPr/>
        <w:t xml:space="preserve">(v)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(d)(i) Nothing in this section limits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(e) The state treasurer shall designate and define the terms of engagement for the custodial banks.</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 other than the investment policies, resides with the governing board acting to implement, design, and manage the achieving a better life experience savings program that allows eligible individuals to create and maintain savings accounts. The moneys in the account may be spent only for the purposes of the achieving a better life experience program.</w:t>
      </w:r>
    </w:p>
    <w:p>
      <w:pPr>
        <w:spacing w:before="0" w:after="0" w:line="408" w:lineRule="exact"/>
        <w:ind w:left="0" w:right="0" w:firstLine="576"/>
        <w:jc w:val="left"/>
      </w:pPr>
      <w:r>
        <w:rPr/>
        <w:t xml:space="preserve">(6) The state investment board shall routinely consult and communicate with the governing board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achieving a better life experience program is established and the governing board is authorized to design and administer the achieving a better life experience program.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achieving a better life experience program must be colocated with the developmental disabilities endowment governing board established under this chapter.</w:t>
      </w:r>
    </w:p>
    <w:p>
      <w:pPr>
        <w:spacing w:before="0" w:after="0" w:line="408" w:lineRule="exact"/>
        <w:ind w:left="0" w:right="0" w:firstLine="576"/>
        <w:jc w:val="left"/>
      </w:pPr>
      <w:r>
        <w:rPr/>
        <w:t xml:space="preserve">(1) The governing board shall consist of seven members as follows:</w:t>
      </w:r>
    </w:p>
    <w:p>
      <w:pPr>
        <w:spacing w:before="0" w:after="0" w:line="408" w:lineRule="exact"/>
        <w:ind w:left="0" w:right="0" w:firstLine="576"/>
        <w:jc w:val="left"/>
      </w:pPr>
      <w:r>
        <w:rPr/>
        <w:t xml:space="preserve">(a) The state treasurer or his or her designee;</w:t>
      </w:r>
    </w:p>
    <w:p>
      <w:pPr>
        <w:spacing w:before="0" w:after="0" w:line="408" w:lineRule="exact"/>
        <w:ind w:left="0" w:right="0" w:firstLine="576"/>
        <w:jc w:val="left"/>
      </w:pPr>
      <w:r>
        <w:rPr/>
        <w:t xml:space="preserve">(b) The program director for the committee on advanced tuition payment established in RCW 28B.95.020;</w:t>
      </w:r>
    </w:p>
    <w:p>
      <w:pPr>
        <w:spacing w:before="0" w:after="0" w:line="408" w:lineRule="exact"/>
        <w:ind w:left="0" w:right="0" w:firstLine="576"/>
        <w:jc w:val="left"/>
      </w:pPr>
      <w:r>
        <w:rPr/>
        <w:t xml:space="preserve">(c) The director of the office of financial management or his or her designee; and</w:t>
      </w:r>
    </w:p>
    <w:p>
      <w:pPr>
        <w:spacing w:before="0" w:after="0" w:line="408" w:lineRule="exact"/>
        <w:ind w:left="0" w:right="0" w:firstLine="576"/>
        <w:jc w:val="left"/>
      </w:pPr>
      <w:r>
        <w:rPr/>
        <w:t xml:space="preserve">(d) Four members with demonstrated financial, legal, or disability program experience, appointed by the governor.</w:t>
      </w:r>
    </w:p>
    <w:p>
      <w:pPr>
        <w:spacing w:before="0" w:after="0" w:line="408" w:lineRule="exact"/>
        <w:ind w:left="0" w:right="0" w:firstLine="576"/>
        <w:jc w:val="left"/>
      </w:pPr>
      <w:r>
        <w:rPr/>
        <w:t xml:space="preserve">(2) The board shall select the chair of the board from among the seven board members identified in subsection (1) of this section.</w:t>
      </w:r>
    </w:p>
    <w:p>
      <w:pPr>
        <w:spacing w:before="0" w:after="0" w:line="408" w:lineRule="exact"/>
        <w:ind w:left="0" w:right="0" w:firstLine="576"/>
        <w:jc w:val="left"/>
      </w:pPr>
      <w:r>
        <w:rPr/>
        <w:t xml:space="preserve">(3) Members of the board who are appointed by the governor shall serve four-year terms and may be appointed for successive four-year terms at the discretion of the governor. The governor may stagger the terms of the appointed members.</w:t>
      </w:r>
    </w:p>
    <w:p>
      <w:pPr>
        <w:spacing w:before="0" w:after="0" w:line="408" w:lineRule="exact"/>
        <w:ind w:left="0" w:right="0" w:firstLine="576"/>
        <w:jc w:val="left"/>
      </w:pPr>
      <w:r>
        <w:rPr/>
        <w:t xml:space="preserve">(4) Members of the board must be compensated for their service under RCW 43.03.240 and must be reimbursed for travel expenses as provided in RCW 43.03.050 and 43.03.060.</w:t>
      </w:r>
    </w:p>
    <w:p>
      <w:pPr>
        <w:spacing w:before="0" w:after="0" w:line="408" w:lineRule="exact"/>
        <w:ind w:left="0" w:right="0" w:firstLine="576"/>
        <w:jc w:val="left"/>
      </w:pPr>
      <w:r>
        <w:rPr/>
        <w:t xml:space="preserve">(5) The board shall meet periodically as specified by the chair, or a majority of the board.</w:t>
      </w:r>
    </w:p>
    <w:p>
      <w:pPr>
        <w:spacing w:before="0" w:after="0" w:line="408" w:lineRule="exact"/>
        <w:ind w:left="0" w:right="0" w:firstLine="576"/>
        <w:jc w:val="left"/>
      </w:pPr>
      <w:r>
        <w:rPr/>
        <w:t xml:space="preserve">(6) Members of the governing board and the state investment board shall not be considered an insurer of the funds or assets of the achieving a better life experience program account or the individual program accounts. Neither of these two boards are liable for the action or inaction of the other.</w:t>
      </w:r>
    </w:p>
    <w:p>
      <w:pPr>
        <w:spacing w:before="0" w:after="0" w:line="408" w:lineRule="exact"/>
        <w:ind w:left="0" w:right="0" w:firstLine="576"/>
        <w:jc w:val="left"/>
      </w:pPr>
      <w:r>
        <w:rPr/>
        <w:t xml:space="preserve">(7)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governing body is authorized to design, administer, manage, promote, and market the Washington achieving a better life experience program. The governing body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spacing w:before="0" w:after="0" w:line="408" w:lineRule="exact"/>
        <w:ind w:left="0" w:right="0" w:firstLine="576"/>
        <w:jc w:val="left"/>
      </w:pPr>
      <w:r>
        <w:rPr/>
        <w:t xml:space="preserve">(2) The governing body may consult with the office of the state treasurer, the department of social and health services, and the state investment board in implementing the Washington achieving a better life experience program. The governing body is authorized to formulate and adopt any policies and rules necessary to implement and operate the Washington achieving a better life experience program consistent with this act.</w:t>
      </w:r>
    </w:p>
    <w:p>
      <w:pPr>
        <w:spacing w:before="0" w:after="0" w:line="408" w:lineRule="exact"/>
        <w:ind w:left="0" w:right="0" w:firstLine="576"/>
        <w:jc w:val="left"/>
      </w:pPr>
      <w:r>
        <w:rPr/>
        <w:t xml:space="preserve">(3) The governing body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body shall implement the Washington achieving a better life experience program by July 1, 2017. The governing body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c1f761410f6b44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e2ca1332e84779" /><Relationship Type="http://schemas.openxmlformats.org/officeDocument/2006/relationships/footer" Target="/word/footer.xml" Id="Rc1f761410f6b44d0" /></Relationships>
</file>