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ff190317904449" /></Relationships>
</file>

<file path=word/document.xml><?xml version="1.0" encoding="utf-8"?>
<w:document xmlns:w="http://schemas.openxmlformats.org/wordprocessingml/2006/main">
  <w:body>
    <w:p>
      <w:r>
        <w:t>Z-0761.1</w:t>
      </w:r>
    </w:p>
    <w:p>
      <w:pPr>
        <w:jc w:val="center"/>
      </w:pPr>
      <w:r>
        <w:t>_______________________________________________</w:t>
      </w:r>
    </w:p>
    <w:p/>
    <w:p>
      <w:pPr>
        <w:jc w:val="center"/>
      </w:pPr>
      <w:r>
        <w:rPr>
          <w:b/>
        </w:rPr>
        <w:t>SENATE BILL 6201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and Keiser; by request of Office of Financial Management</w:t>
      </w:r>
    </w:p>
    <w:p/>
    <w:p>
      <w:r>
        <w:rPr>
          <w:t xml:space="preserve">Read first time 01/12/16.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43.83B.430 and 70.148.020; amending 2015 3rd sp.s. c 3 ss 1036, 1037, 1076, 1077, 1083, 1095, 1114, 2004, 2016, 2023, 2035, 2038, 3054, 3058, 3059, 3060, 3066, 3084, 3165, 3166, 3200, 3224, 3235, 4002, 5010, 5011, 5012, 5013, 5085, 5086, 5089, 5098, 5101, 7001, 7002, 7012, 7023, 7037, and 7038 (uncodified); adding new sections to 2015 3rd sp.s. c 3 (uncodified); creating a new section; repealing 2015 3rd sp.s. c 3 s 1072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pPr>
      <w:r>
        <w:rPr>
          <w:u w:val="single"/>
        </w:rPr>
        <w:t xml:space="preserve">(5) </w:t>
      </w:r>
      <w:r>
        <w:rPr>
          <w:u w:val="single"/>
        </w:rPr>
        <w:t xml:space="preserve">Crisis Triage Centers - Two crisis triage centers</w:t>
      </w:r>
    </w:p>
    <w:p>
      <w:pPr>
        <w:spacing w:before="0" w:after="0" w:line="408" w:lineRule="exact"/>
        <w:ind w:left="0" w:right="0" w:firstLine="0"/>
        <w:jc w:val="left"/>
      </w:pPr>
      <w:r>
        <w:rPr>
          <w:u w:val="single"/>
        </w:rPr>
        <w:t xml:space="preserve">in western Washington and two crisis triage centers in</w:t>
      </w:r>
    </w:p>
    <w:p>
      <w:pPr>
        <w:spacing w:before="0" w:after="0" w:line="408" w:lineRule="exact"/>
        <w:ind w:left="0" w:right="0" w:firstLine="0"/>
        <w:jc w:val="left"/>
        <w:tabs>
          <w:tab w:val="right" w:leader="dot" w:pos="9936"/>
        </w:tabs>
      </w:pPr>
      <w:r>
        <w:rPr>
          <w:u w:val="single"/>
        </w:rPr>
        <w:t xml:space="preserve">eastern Washington</w:t>
      </w:r>
      <w:r>
        <w:tab/>
      </w:r>
      <w:r>
        <w:rPr>
          <w:u w:val="single"/>
        </w:rPr>
        <w:t xml:space="preserve">$7,552,000</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$13,009,000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$46,062,000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$46,062,000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Housing Trust Fund Portfolio Preservation Program (30000837)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housing authorities for the preservation of existing housing trust fund projects that are at risk due to critical capital needs that serve populations making less than thirty percent of the area median income or experiencing homelessness.</w:t>
      </w:r>
    </w:p>
    <w:p>
      <w:pPr>
        <w:spacing w:before="0" w:after="0" w:line="408" w:lineRule="exact"/>
        <w:ind w:left="0" w:right="0" w:firstLine="576"/>
        <w:jc w:val="left"/>
      </w:pPr>
      <w:r>
        <w:rPr/>
        <w:t xml:space="preserve">(2) The department must conduct an assessment that includes near-term and long-term preservation needs and establish a set of criteria that maximizes returns on preservation investment.</w:t>
      </w:r>
    </w:p>
    <w:p>
      <w:pPr>
        <w:spacing w:before="0" w:after="0" w:line="408" w:lineRule="exact"/>
        <w:ind w:left="0" w:right="0" w:firstLine="576"/>
        <w:jc w:val="left"/>
      </w:pPr>
      <w:r>
        <w:rPr/>
        <w:t xml:space="preserve">(3) The agency must provide a final report of the assessment, as well as any associated legislative and budget recommendations, to the governor and legislature by December 1, 2016.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1037 (uncodified) is amended to read as follows: </w:t>
      </w:r>
    </w:p>
    <w:p>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strike/>
        </w:rPr>
        <w:t xml:space="preserve">$75,000,000</w:t>
      </w:r>
    </w:p>
    <w:p>
      <w:pPr>
        <w:spacing w:before="0" w:after="0" w:line="408" w:lineRule="exact"/>
        <w:ind w:left="0" w:right="0" w:firstLine="0"/>
        <w:jc w:val="left"/>
        <w:tabs>
          <w:tab w:val="right" w:leader="none" w:pos="9936"/>
        </w:tabs>
      </w:pPr>
      <w:r>
        <w:tab/>
      </w:r>
      <w:r>
        <w:rPr>
          <w:u w:val="single"/>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Local and Community Projects 2017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120" w:after="0" w:line="408" w:lineRule="exact"/>
        <w:ind w:left="0" w:right="0" w:firstLine="576"/>
        <w:jc w:val="left"/>
      </w:pPr>
      <w:r>
        <w:rPr/>
        <w:t xml:space="preserve">(7) The appropriation is provided solely for the following list of projects:</w:t>
      </w:r>
    </w:p>
    <w:p>
      <w:pPr>
        <w:spacing w:before="120" w:after="0" w:line="408" w:lineRule="exact"/>
        <w:ind w:left="0" w:right="0" w:firstLine="576"/>
        <w:jc w:val="left"/>
        <w:tabs>
          <w:tab w:val="right" w:leader="dot" w:pos="9936"/>
        </w:tabs>
      </w:pPr>
      <w:r>
        <w:rPr/>
        <w:t xml:space="preserve">Asia Pacific cultural center</w:t>
      </w:r>
      <w:r>
        <w:tab/>
      </w:r>
      <w:r>
        <w:rPr/>
        <w:t xml:space="preserve">$1,500,000</w:t>
      </w:r>
    </w:p>
    <w:p>
      <w:pPr>
        <w:spacing w:before="0" w:after="0" w:line="408" w:lineRule="exact"/>
        <w:ind w:left="0" w:right="0" w:firstLine="576"/>
        <w:jc w:val="left"/>
        <w:tabs>
          <w:tab w:val="right" w:leader="dot" w:pos="9936"/>
        </w:tabs>
      </w:pPr>
      <w:r>
        <w:rPr/>
        <w:t xml:space="preserve">Chelan County's sheriff search and rescue equipment</w:t>
      </w:r>
      <w:r>
        <w:tab/>
      </w:r>
      <w:r>
        <w:rPr/>
        <w:t xml:space="preserve">$80,000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Public Works Board's Emergency Funding Response Initiative (30000854)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short-term loans and grants to local governments located in geographic areas in which a presidentially declared disaster has occurred. The purpose of the short-term loans and grants is to provide funding for the replacement or repair of public works infrastructure destroyed or damaged by a major disaster.</w:t>
      </w:r>
    </w:p>
    <w:p>
      <w:pPr>
        <w:spacing w:before="0" w:after="0" w:line="408" w:lineRule="exact"/>
        <w:ind w:left="0" w:right="0" w:firstLine="576"/>
        <w:jc w:val="left"/>
      </w:pPr>
      <w:r>
        <w:rPr/>
        <w:t xml:space="preserve">(a) The board must coordinate with the Washington military department to develop eligibility criteria for local governments to receive the loans or grants.</w:t>
      </w:r>
    </w:p>
    <w:p>
      <w:pPr>
        <w:spacing w:before="0" w:after="0" w:line="408" w:lineRule="exact"/>
        <w:ind w:left="0" w:right="0" w:firstLine="576"/>
        <w:jc w:val="left"/>
      </w:pPr>
      <w:r>
        <w:rPr/>
        <w:t xml:space="preserve">(b) If a local government receiving funds pursuant to this section receives approval for the federal emergency management agency reimbursement, the reimbursement must be deposited in the disaster response account, created in RCW 38.52.105, and counts towards repayment of the loan to the local government.</w:t>
      </w:r>
    </w:p>
    <w:p>
      <w:pPr>
        <w:spacing w:before="0" w:after="0" w:line="408" w:lineRule="exact"/>
        <w:ind w:left="0" w:right="0" w:firstLine="576"/>
        <w:jc w:val="left"/>
      </w:pPr>
      <w:r>
        <w:rPr/>
        <w:t xml:space="preserve">(2) $500,000 of appropriation is provided solely for the city of Twisp civic building.</w:t>
      </w:r>
    </w:p>
    <w:p>
      <w:pPr>
        <w:spacing w:before="0" w:after="0" w:line="408" w:lineRule="exact"/>
        <w:ind w:left="0" w:right="0" w:firstLine="576"/>
        <w:jc w:val="left"/>
        <w:tabs>
          <w:tab w:val="right" w:leader="dot" w:pos="9936"/>
        </w:tabs>
      </w:pPr>
      <w:r>
        <w:rPr/>
        <w:t xml:space="preserve">Disaster Response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Demographics for end users must focus on populations with developmental disabilities, homeless youth, homeless families with children, homeless veterans, people with chronic mental illness, and seniors with disabilities.</w:t>
      </w:r>
    </w:p>
    <w:p>
      <w:pPr>
        <w:spacing w:before="0" w:after="0" w:line="408" w:lineRule="exact"/>
        <w:ind w:left="0" w:right="0" w:firstLine="576"/>
        <w:jc w:val="left"/>
      </w:pPr>
      <w:r>
        <w:rPr/>
        <w:t xml:space="preserve">(1) $1,500,000 of the appropriation is provided solely for rapid housing improvements, which repair and improve existing private market rental units to comply with the federal housing quality inspection standards or state, county or municipal established housing standards to include structural improvements to buildings for the purpose of increasing access to housing for families using rental assistance programs. To qualify for funding, the department of commerce must require property owners to maintain the unit for housing choice voucher recipients for an appropriate period of time following the completion of repairs.</w:t>
      </w:r>
    </w:p>
    <w:p>
      <w:pPr>
        <w:spacing w:before="0" w:after="0" w:line="408" w:lineRule="exact"/>
        <w:ind w:left="0" w:right="0" w:firstLine="576"/>
        <w:jc w:val="left"/>
      </w:pPr>
      <w:r>
        <w:rPr/>
        <w:t xml:space="preserve">(2) $1,275,000 of the appropriation is provided solely for a rapid housing acquisition demonstration to develop congregate small unit dwellings or convert single family dwellings into multifamily units within existing permitting authorities to rapidly increase the available housing stock within communities.</w:t>
      </w:r>
    </w:p>
    <w:p>
      <w:pPr>
        <w:spacing w:before="0" w:after="0" w:line="408" w:lineRule="exact"/>
        <w:ind w:left="0" w:right="0" w:firstLine="576"/>
        <w:jc w:val="left"/>
      </w:pPr>
      <w:r>
        <w:rPr/>
        <w:t xml:space="preserve">(3) $1,000,000 of the appropriation is provided solely for housing units in excess of the 2015-2017 housing trust fund requirement of 200 senior units.</w:t>
      </w:r>
    </w:p>
    <w:p>
      <w:pPr>
        <w:spacing w:before="0" w:after="0" w:line="408" w:lineRule="exact"/>
        <w:ind w:left="0" w:right="0" w:firstLine="576"/>
        <w:jc w:val="left"/>
      </w:pPr>
      <w:r>
        <w:rPr/>
        <w:t xml:space="preserve">(4) $100,000 of the appropriation is provided solely for a study of available housing opportunities for veterans experiencing homelessness and the conversion of units to provide permanent supportive housing for geriatric veterans with psychiatric disorders. The study must also, in collaboration with the department of veterans affairs, evaluate the feasibility of converting building 10 at the state veterans home at Retsil into housing for veterans.</w:t>
      </w:r>
    </w:p>
    <w:p>
      <w:pPr>
        <w:spacing w:before="0" w:after="0" w:line="408" w:lineRule="exact"/>
        <w:ind w:left="0" w:right="0" w:firstLine="576"/>
        <w:jc w:val="left"/>
      </w:pPr>
      <w:r>
        <w:rPr/>
        <w:t xml:space="preserve">(5) $125,000 of the appropriation is provided solely for landlord mitigation for the cost of damages that may be caused to private market units renting to housing choice voucher holders. In order to be eligible for assistance, a landlord must obtain a judgement against a tenant from the county in which the property is located. Participation is restricted to units within jurisdictions that prohibit denying tenancy based solely on the applicant's source of income. Reimbursement is allowed only for amounts related to property damage, unpaid rent, and other damages caused as a result of the voucher-holder tenant's occupancy. Damages must exceed normal wear and tear on the property and be in excess of $500 but not more than $5,000 per tenancy. A claim must be submitted within one year of obtaining a judgment against a tenant.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 to assist with the analysis.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0" w:after="0" w:line="408" w:lineRule="exact"/>
        <w:ind w:left="0" w:right="0" w:firstLine="576"/>
        <w:jc w:val="left"/>
        <w:tabs>
          <w:tab w:val="right" w:leader="dot" w:pos="9936"/>
        </w:tabs>
      </w:pPr>
      <w:pPr>
        <w:tabs>
          <w:tab w:val="right" w:leader="dot" w:pos="9360"/>
        </w:tabs>
      </w:pPr>
      <w:r>
        <w:t>((</w:t>
      </w:r>
      <w:r>
        <w:rPr>
          <w:strike/>
        </w:rPr>
        <w:t xml:space="preserve">Enterprise Services Account</w:t>
      </w:r>
      <w:r>
        <w:rPr>
          <w:rFonts w:ascii="Times New Roman" w:hAnsi="Times New Roman"/>
          <w:strike/>
        </w:rPr>
        <w:t xml:space="preserve">—</w:t>
      </w:r>
      <w:r>
        <w:rPr>
          <w:strike/>
        </w:rPr>
        <w:t xml:space="preserve">State</w:t>
      </w:r>
      <w:r>
        <w:t>))</w:t>
      </w:r>
      <w:r>
        <w:rPr/>
        <w:t xml:space="preserve"> </w:t>
      </w:r>
      <w:r>
        <w:rPr>
          <w:u w:val="single"/>
        </w:rPr>
        <w:t xml:space="preserve">State Building</w:t>
      </w:r>
    </w:p>
    <w:p>
      <w:pPr>
        <w:spacing w:before="0" w:after="0" w:line="408" w:lineRule="exact"/>
        <w:ind w:left="0" w:right="0" w:firstLine="576"/>
        <w:jc w:val="left"/>
        <w:tabs>
          <w:tab w:val="right" w:leader="dot" w:pos="9936"/>
        </w:tabs>
      </w:pPr>
      <w:r>
        <w:rPr>
          <w:u w:val="single"/>
        </w:rPr>
        <w:t xml:space="preserve">Construction Account</w:t>
      </w:r>
      <w:r>
        <w:rPr>
          <w:rFonts w:ascii="Times New Roman" w:hAnsi="Times New Roman"/>
          <w:u w:val="single"/>
        </w:rPr>
        <w:t xml:space="preserve">—</w:t>
      </w:r>
      <w:r>
        <w:rPr>
          <w:u w:val="single"/>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LABOR AND INDUSTRIES</w:t>
      </w:r>
    </w:p>
    <w:p>
      <w:pPr>
        <w:spacing w:before="0" w:after="0" w:line="408" w:lineRule="exact"/>
        <w:ind w:left="0" w:right="0" w:firstLine="576"/>
        <w:jc w:val="left"/>
      </w:pPr>
      <w:r>
        <w:rPr/>
        <w:t xml:space="preserve">New Laboratory and Training Facility (30000016)</w:t>
      </w:r>
    </w:p>
    <w:p>
      <w:pPr>
        <w:spacing w:before="120" w:after="0" w:line="408" w:lineRule="exact"/>
        <w:ind w:left="0" w:right="0" w:firstLine="576"/>
        <w:jc w:val="left"/>
      </w:pPr>
      <w:r>
        <w:rPr/>
        <w:t xml:space="preserve">The appropriation in this section is subject to the following conditions and limitations: The department of labor and industries new laboratory and training facility shall undergo a budget evaluation study pursuant to section 7022, chapter 3, Laws of 2015 3rd sp. sess. The department shall enter into a financing contract authorized in section 7002 of this act only when the study is complete and an option is approved by the office of financial management.</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Appropriation</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Military Department Capital Account</w:t>
      </w:r>
      <w:r>
        <w:tab/>
      </w:r>
      <w:r>
        <w:rPr/>
        <w:t xml:space="preserve">$1,000,000</w:t>
      </w:r>
    </w:p>
    <w:p>
      <w:pPr>
        <w:tabs>
          <w:tab w:val="right" w:leader="dot" w:pos="9936"/>
        </w:tabs>
        <w:ind w:left="0" w:right="0" w:firstLine="1440"/>
      </w:pPr>
      <w:r>
        <w:rPr/>
        <w:t xml:space="preserve">Subtotal Appropriation</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UPS replacement   (30000810)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$950,000 may be used for necessary renovations at the Maple Lane facility for the purpose of temporary forensic beds.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$17,800,000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$17,800,000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w:t>
      </w:r>
      <w:r>
        <w:rPr/>
        <w:t xml:space="preserve">: Psychiatric Intensive Care Unit and Competency Restoration (30002773)</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$20,810,000</w:t>
      </w:r>
    </w:p>
    <w:p>
      <w:pPr>
        <w:tabs>
          <w:tab w:val="right" w:leader="dot" w:pos="9936"/>
        </w:tabs>
        <w:ind w:left="0" w:right="0" w:firstLine="1440"/>
      </w:pPr>
      <w:r>
        <w:rPr/>
        <w:t xml:space="preserve">TOTAL</w:t>
      </w:r>
      <w:r>
        <w:tab/>
      </w:r>
      <w:r>
        <w:rPr/>
        <w:t xml:space="preserve">$22,385,000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Statewide-JRA Community Facilities: Safety, Security &amp; Code (30002737)</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Infrastructure: Repairs and Upgrades (30003211)</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w:t>
      </w:r>
    </w:p>
    <w:p>
      <w:pPr>
        <w:tabs>
          <w:tab w:val="right" w:leader="dot" w:pos="9936"/>
        </w:tabs>
        <w:ind w:left="0" w:right="0" w:firstLine="1440"/>
      </w:pPr>
      <w:r>
        <w:rPr/>
        <w:t xml:space="preserve">TOTAL</w:t>
      </w:r>
      <w:r>
        <w:tab/>
      </w:r>
      <w:r>
        <w:rPr/>
        <w:t xml:space="preserve">$4,765,000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Main Dock: Float &amp; Dolphin Replacement (30003234)</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Juvenile Rehabilitation - Pine Lodge: Youth Training Programs (30002748)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2038 (uncodified) is amended to read as follows: </w:t>
      </w:r>
    </w:p>
    <w:p>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$1,391,000</w:t>
      </w:r>
    </w:p>
    <w:p>
      <w:pPr>
        <w:tabs>
          <w:tab w:val="right" w:leader="none" w:pos="9936"/>
        </w:tabs>
        <w:ind w:left="0" w:right="0" w:firstLine="1440"/>
      </w:pPr>
      <w:r>
        <w:tab/>
      </w:r>
      <w:r>
        <w:rPr>
          <w:u w:val="single"/>
        </w:rPr>
        <w:t xml:space="preserve">$3,941,000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0" w:after="0" w:line="408" w:lineRule="exact"/>
        <w:ind w:left="0" w:right="0" w:firstLine="576"/>
        <w:jc w:val="left"/>
      </w:pPr>
      <w:r>
        <w:rPr>
          <w:u w:val="single"/>
        </w:rPr>
        <w:t xml:space="preserve">(3) $1,500,000 of the state building construction account</w:t>
      </w:r>
      <w:r>
        <w:rPr>
          <w:rFonts w:ascii="Times New Roman" w:hAnsi="Times New Roman"/>
          <w:u w:val="single"/>
        </w:rPr>
        <w:t xml:space="preserve">—</w:t>
      </w:r>
      <w:r>
        <w:rPr>
          <w:u w:val="single"/>
        </w:rPr>
        <w:t xml:space="preserve">state is provided solely as state match for the federal section 319 grant program.</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3058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$6,423,000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$4,577,000</w:t>
      </w:r>
    </w:p>
    <w:p>
      <w:pPr>
        <w:tabs>
          <w:tab w:val="right" w:leader="dot" w:pos="9936"/>
        </w:tabs>
        <w:ind w:left="0" w:right="0" w:firstLine="1440"/>
      </w:pPr>
      <w:r>
        <w:rPr>
          <w:u w:val="single"/>
        </w:rPr>
        <w:t xml:space="preserve">Subtotal Appropriation</w:t>
      </w:r>
      <w:r>
        <w:tab/>
      </w:r>
      <w:r>
        <w:rPr>
          <w:u w:val="single"/>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$51,117,000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$13,933,000</w:t>
      </w:r>
    </w:p>
    <w:p>
      <w:pPr>
        <w:tabs>
          <w:tab w:val="right" w:leader="dot" w:pos="9936"/>
        </w:tabs>
        <w:ind w:left="0" w:right="0" w:firstLine="1440"/>
      </w:pPr>
      <w:r>
        <w:rPr>
          <w:u w:val="single"/>
        </w:rPr>
        <w:t xml:space="preserve">Subtotal Appropriation</w:t>
      </w:r>
      <w:r>
        <w:tab/>
      </w:r>
      <w:r>
        <w:rPr>
          <w:u w:val="single"/>
        </w:rPr>
        <w:t xml:space="preserve">$65,050,000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3060 (uncodified) is amended to read as follows: </w:t>
      </w:r>
    </w:p>
    <w:p>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$846,000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$1,154,000</w:t>
      </w:r>
    </w:p>
    <w:p>
      <w:pPr>
        <w:tabs>
          <w:tab w:val="right" w:leader="dot" w:pos="9936"/>
        </w:tabs>
        <w:ind w:left="0" w:right="0" w:firstLine="1440"/>
      </w:pPr>
      <w:r>
        <w:rPr>
          <w:u w:val="single"/>
        </w:rPr>
        <w:t xml:space="preserve">Subtotal Appropriation</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$16,731,000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$5,819,000</w:t>
      </w:r>
    </w:p>
    <w:p>
      <w:pPr>
        <w:tabs>
          <w:tab w:val="right" w:leader="dot" w:pos="9936"/>
        </w:tabs>
        <w:ind w:left="0" w:right="0" w:firstLine="1440"/>
      </w:pPr>
      <w:r>
        <w:rPr>
          <w:u w:val="single"/>
        </w:rPr>
        <w:t xml:space="preserve">Subtotal Appropriation</w:t>
      </w:r>
      <w:r>
        <w:tab/>
      </w:r>
      <w:r>
        <w:rPr>
          <w:u w:val="single"/>
        </w:rPr>
        <w:t xml:space="preserve">$22,550,000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 (uncodified) is amended to read as follows: </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$7,533,000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3224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department of natural resources community forest open space, or recreation purposes. The approved list of properties for lease or transfer is identified in the LEAP capital document No. 2015-3, developed June 30, 2015 </w:t>
      </w:r>
      <w:r>
        <w:rPr>
          <w:u w:val="single"/>
        </w:rPr>
        <w:t xml:space="preserve">and OFM capital document No. 2016-1, developed December 15, 2015</w:t>
      </w:r>
      <w:r>
        <w:rPr/>
        <w:t xml:space="preserve">.</w:t>
      </w:r>
    </w:p>
    <w:p>
      <w:pPr>
        <w:spacing w:before="0" w:after="0" w:line="408" w:lineRule="exact"/>
        <w:ind w:left="0" w:right="0" w:firstLine="576"/>
        <w:jc w:val="left"/>
      </w:pPr>
      <w:r>
        <w:rPr/>
        <w:t xml:space="preserve">(2) Property transferred under this section must be appraised and transferred at fair market value.</w:t>
      </w:r>
    </w:p>
    <w:p>
      <w:pPr>
        <w:spacing w:before="0" w:after="0" w:line="408" w:lineRule="exact"/>
        <w:ind w:left="0" w:right="0" w:firstLine="576"/>
        <w:jc w:val="left"/>
      </w:pPr>
      <w:r>
        <w:rPr>
          <w:u w:val="single"/>
        </w:rPr>
        <w:t xml:space="preserve">(a)</w:t>
      </w:r>
      <w:r>
        <w:rPr/>
        <w:t xml:space="preserve"> By September 30, 2015, the department must deposit in the common school construction account the portion of the appropriation in this section </w:t>
      </w:r>
      <w:r>
        <w:rPr>
          <w:u w:val="single"/>
        </w:rPr>
        <w:t xml:space="preserve">related to LEAP capital document No. 2015-3, developed June 30, 2015,</w:t>
      </w:r>
      <w:r>
        <w:rPr/>
        <w:t xml:space="preserve"> that represents the estimated value of the timber on the transferred properties.</w:t>
      </w:r>
    </w:p>
    <w:p>
      <w:pPr>
        <w:spacing w:before="0" w:after="0" w:line="408" w:lineRule="exact"/>
        <w:ind w:left="0" w:right="0" w:firstLine="576"/>
        <w:jc w:val="left"/>
      </w:pPr>
      <w:r>
        <w:rPr>
          <w:u w:val="single"/>
        </w:rPr>
        <w:t xml:space="preserve">(b) By September 30, 2016, the department must deposit in the common school construction account the portion of the appropriation in this section related to OFM capital document No. 2016-1, developed December 15, 2015, that represents the estimated value of the timber on the transferred properties.</w:t>
      </w:r>
    </w:p>
    <w:p>
      <w:pPr>
        <w:spacing w:before="0" w:after="0" w:line="408" w:lineRule="exact"/>
        <w:ind w:left="0" w:right="0" w:firstLine="576"/>
        <w:jc w:val="left"/>
      </w:pPr>
      <w:r>
        <w:rPr>
          <w:u w:val="single"/>
        </w:rPr>
        <w:t xml:space="preserve">(c)</w:t>
      </w:r>
      <w:r>
        <w:rPr/>
        <w:t xml:space="preserve">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w:t>
      </w:r>
    </w:p>
    <w:p>
      <w:pPr>
        <w:spacing w:before="0" w:after="0" w:line="408" w:lineRule="exact"/>
        <w:ind w:left="0" w:right="0" w:firstLine="576"/>
        <w:jc w:val="left"/>
      </w:pPr>
      <w:r>
        <w:rPr/>
        <w:t xml:space="preserve">(4)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(5)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(6)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(7)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statewide interest of either the common school trust or the receiving agency.</w:t>
      </w:r>
    </w:p>
    <w:p>
      <w:pPr>
        <w:spacing w:before="0" w:after="0" w:line="408" w:lineRule="exact"/>
        <w:ind w:left="0" w:right="0" w:firstLine="576"/>
        <w:jc w:val="left"/>
      </w:pPr>
      <w:r>
        <w:rPr/>
        <w:t xml:space="preserve">(8) By June 30, 2017, the state treasurer shall transfer to the common school construction account any unexpended balance of the appropriation in this section.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$9,784,000</w:t>
      </w:r>
      <w:r>
        <w:t>))</w:t>
      </w:r>
    </w:p>
    <w:p>
      <w:pPr>
        <w:spacing w:before="0" w:after="0" w:line="408" w:lineRule="exact"/>
        <w:ind w:left="0" w:right="0" w:firstLine="0"/>
        <w:jc w:val="left"/>
        <w:tabs>
          <w:tab w:val="right" w:leader="none" w:pos="9936"/>
        </w:tabs>
      </w:pPr>
      <w:r>
        <w:tab/>
      </w:r>
      <w:r>
        <w:rPr>
          <w:u w:val="single"/>
        </w:rPr>
        <w:t xml:space="preserve">$28,594,000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strike/>
        </w:rPr>
        <w:t xml:space="preserve">$365,519,000</w:t>
      </w:r>
    </w:p>
    <w:p>
      <w:pPr>
        <w:tabs>
          <w:tab w:val="right" w:leader="none" w:pos="9936"/>
        </w:tabs>
        <w:ind w:left="0" w:right="0" w:firstLine="1440"/>
      </w:pPr>
      <w:r>
        <w:tab/>
      </w:r>
      <w:r>
        <w:rPr>
          <w:u w:val="single"/>
        </w:rPr>
        <w:t xml:space="preserve">$384,329,000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$74,500 of the state building construction account</w:t>
      </w:r>
      <w:r>
        <w:rPr>
          <w:rFonts w:ascii="Times New Roman" w:hAnsi="Times New Roman"/>
          <w:u w:val="single"/>
        </w:rPr>
        <w:t xml:space="preserve">—</w:t>
      </w:r>
      <w:r>
        <w:rPr>
          <w:u w:val="single"/>
        </w:rPr>
        <w:t xml:space="preserve">state is provided solely for the state's share of liability under the comprehensive environmental response, compensation, and liability act for the cleanup of contamination at the Salt creek firing range site in Port Angeles, Clallam County.</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$74,500</w:t>
      </w:r>
    </w:p>
    <w:p>
      <w:pPr>
        <w:tabs>
          <w:tab w:val="right" w:leader="dot" w:pos="9936"/>
        </w:tabs>
        <w:ind w:left="0" w:right="0" w:firstLine="1440"/>
      </w:pPr>
      <w:r>
        <w:rPr>
          <w:u w:val="single"/>
        </w:rPr>
        <w:t xml:space="preserve">Subtotal Appropriation</w:t>
      </w:r>
      <w:r>
        <w:tab/>
      </w:r>
      <w:r>
        <w:rPr>
          <w:u w:val="single"/>
        </w:rPr>
        <w:t xml:space="preserve">$930,500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$930,500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$1,490,000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$388,129,000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$305,121,000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$337,735,000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$3,582,000</w:t>
      </w:r>
    </w:p>
    <w:p>
      <w:pPr>
        <w:tabs>
          <w:tab w:val="right" w:leader="none" w:pos="9936"/>
        </w:tabs>
        <w:ind w:left="0" w:right="0" w:firstLine="1440"/>
      </w:pPr>
      <w:r>
        <w:tab/>
      </w:r>
      <w:r>
        <w:rPr>
          <w:u w:val="single"/>
        </w:rPr>
        <w:t xml:space="preserve">$3,191,000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$355,300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$2,947,000</w:t>
      </w:r>
    </w:p>
    <w:p>
      <w:pPr>
        <w:tabs>
          <w:tab w:val="right" w:leader="none" w:pos="9936"/>
        </w:tabs>
        <w:ind w:left="0" w:right="0" w:firstLine="1440"/>
      </w:pPr>
      <w:r>
        <w:tab/>
      </w:r>
      <w:r>
        <w:rPr>
          <w:u w:val="single"/>
        </w:rPr>
        <w:t xml:space="preserve">$2,915,300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$3,994,700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$8,880,700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$73,302,700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5101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$702,000</w:t>
      </w:r>
      <w:r>
        <w:t>))</w:t>
      </w:r>
    </w:p>
    <w:p>
      <w:pPr>
        <w:spacing w:before="0" w:after="0" w:line="408" w:lineRule="exact"/>
        <w:ind w:left="0" w:right="0" w:firstLine="0"/>
        <w:jc w:val="left"/>
        <w:tabs>
          <w:tab w:val="right" w:leader="none" w:pos="9936"/>
        </w:tabs>
      </w:pPr>
      <w:r>
        <w:tab/>
      </w:r>
      <w:r>
        <w:rPr>
          <w:u w:val="single"/>
        </w:rPr>
        <w:t xml:space="preserve">$1,078,000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$702,000</w:t>
      </w:r>
    </w:p>
    <w:p>
      <w:pPr>
        <w:tabs>
          <w:tab w:val="right" w:leader="none" w:pos="9936"/>
        </w:tabs>
        <w:ind w:left="0" w:right="0" w:firstLine="1440"/>
      </w:pPr>
      <w:r>
        <w:tab/>
      </w:r>
      <w:r>
        <w:rPr>
          <w:u w:val="single"/>
        </w:rPr>
        <w:t xml:space="preserve">$1,078,000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ninety-three million nine hundred seventy-four</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seventy-five million five hundred five</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seventy-two million one hundred forty-two</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w:t>
      </w:r>
      <w:r>
        <w:rPr>
          <w:u w:val="single"/>
        </w:rPr>
        <w:t xml:space="preserve">Department of labor and industries: Enter into a financing contract for up to $1,304,000 plus financing expenses and required reserves pursuant to chapter 39.94 RCW to acquire land for the construction of a new laboratory and training facility.</w:t>
      </w:r>
    </w:p>
    <w:p>
      <w:pPr>
        <w:spacing w:before="0" w:after="0" w:line="408" w:lineRule="exact"/>
        <w:ind w:left="0" w:right="0" w:firstLine="576"/>
        <w:jc w:val="left"/>
      </w:pPr>
      <w:r>
        <w:rPr>
          <w:u w:val="single"/>
        </w:rPr>
        <w:t xml:space="preserve">(6)</w:t>
      </w:r>
      <w:r>
        <w:rPr/>
        <w:t xml:space="preserve">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Edmonds Community College for up to $36,106,000 plus financing expenses and required reserves pursuant to chapter 39.94 RCW to construct a science, engineering, and technology building.</w:t>
      </w:r>
    </w:p>
    <w:p>
      <w:pPr>
        <w:spacing w:before="0" w:after="0" w:line="408" w:lineRule="exact"/>
        <w:ind w:left="0" w:right="0" w:firstLine="576"/>
        <w:jc w:val="left"/>
      </w:pPr>
      <w:r>
        <w:rPr>
          <w:u w:val="single"/>
        </w:rPr>
        <w:t xml:space="preserve">(n)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(o)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(p)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u w:val="single"/>
        </w:rPr>
        <w:t xml:space="preserve">(q) Enter into a financing contract on behalf of Whatcom Community College for up to $32,181,000 plus financing expenses and required reserves pursuant to chapter 39.94 RCW to construct a learning commons.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w:t>
      </w:r>
      <w:r>
        <w:rPr/>
        <w:t xml:space="preserve">, and economic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2016,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During the 2015-2017 fiscal biennium the account may also be used for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$13,000,000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1072</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a64b6b075484b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9c679d30db4a17" /><Relationship Type="http://schemas.openxmlformats.org/officeDocument/2006/relationships/footer" Target="/word/footer.xml" Id="R1a64b6b075484b78" /></Relationships>
</file>