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fb936a1a44602" /></Relationships>
</file>

<file path=word/document.xml><?xml version="1.0" encoding="utf-8"?>
<w:document xmlns:w="http://schemas.openxmlformats.org/wordprocessingml/2006/main">
  <w:body>
    <w:p>
      <w:r>
        <w:t>S-3745.1</w:t>
      </w:r>
    </w:p>
    <w:p>
      <w:pPr>
        <w:jc w:val="center"/>
      </w:pPr>
      <w:r>
        <w:t>_______________________________________________</w:t>
      </w:r>
    </w:p>
    <w:p/>
    <w:p>
      <w:pPr>
        <w:jc w:val="center"/>
      </w:pPr>
      <w:r>
        <w:rPr>
          <w:b/>
        </w:rPr>
        <w:t>SENATE BILL 6195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Rolfes, Litzow, and Billig</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the Washington State University report on inventories and assessment of the condition of Washington's schools. The task force must make recommendations to the legislature on how to achieve sufficient classroom facilities to fully accommodate K-3 class size reduction, while maintaining the existing shared responsibility of local districts and the state to fund school construction.</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be open to the public. The task force shall solicit input from the public through a period of open public comment at task force meetings. The comment period may be limited to ensure that the task force has sufficient time to conduct all of its business.</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d1d0e31a4e843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cb346bbc0450d" /><Relationship Type="http://schemas.openxmlformats.org/officeDocument/2006/relationships/footer" Target="/word/footer.xml" Id="Red1d0e31a4e843c8" /></Relationships>
</file>