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75b999d4a4b5c" /></Relationships>
</file>

<file path=word/document.xml><?xml version="1.0" encoding="utf-8"?>
<w:document xmlns:w="http://schemas.openxmlformats.org/wordprocessingml/2006/main">
  <w:body>
    <w:p>
      <w:r>
        <w:t>S-4574.3</w:t>
      </w:r>
    </w:p>
    <w:p>
      <w:pPr>
        <w:jc w:val="center"/>
      </w:pPr>
      <w:r>
        <w:t>_______________________________________________</w:t>
      </w:r>
    </w:p>
    <w:p/>
    <w:p>
      <w:pPr>
        <w:jc w:val="center"/>
      </w:pPr>
      <w:r>
        <w:rPr>
          <w:b/>
        </w:rPr>
        <w:t>SECOND SUBSTITUTE SENATE BILL 6195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Rivers, Rolfes, Litzow, and Billig)</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obligations; amending RCW 28A.505.140 and 28A.400.200;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(4)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(5)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(6) Recommendations of the task force require the affirmative vote of six of its members.</w:t>
      </w:r>
    </w:p>
    <w:p>
      <w:pPr>
        <w:spacing w:before="0" w:after="0" w:line="408" w:lineRule="exact"/>
        <w:ind w:left="0" w:right="0" w:firstLine="576"/>
        <w:jc w:val="left"/>
      </w:pPr>
      <w:r>
        <w:rPr/>
        <w:t xml:space="preserve">(7)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(8) Meetings of the task force shall be open to the public. The task force shall solicit input from the public through a period of open public comment at task force meetings. The comment period may be limited to ensure that the task force has sufficient time to conduct all of its business.</w:t>
      </w:r>
    </w:p>
    <w:p>
      <w:pPr>
        <w:spacing w:before="0" w:after="0" w:line="408" w:lineRule="exact"/>
        <w:ind w:left="0" w:right="0" w:firstLine="576"/>
        <w:jc w:val="left"/>
      </w:pPr>
      <w:r>
        <w:rPr/>
        <w:t xml:space="preserve">(9)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(10)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2006 c 263 s 202 are each amended to read as follows:</w:t>
      </w:r>
    </w:p>
    <w:p>
      <w:pPr>
        <w:spacing w:before="0" w:after="0" w:line="408" w:lineRule="exact"/>
        <w:ind w:left="0" w:right="0" w:firstLine="576"/>
        <w:jc w:val="left"/>
      </w:pPr>
      <w:r>
        <w:rPr/>
        <w:t xml:space="preserve">(1) </w:t>
      </w:r>
      <w:r>
        <w:rPr>
          <w:u w:val="single"/>
        </w:rPr>
        <w:t xml:space="preserve">By June 1, 2016, the superintendent of public instruction shall create a working group with representatives of the state auditor, legislative evaluation and accountability program committee, the school district accounting advisory committee, school district and educational service district financial managers, the Washington association of school business officers, the Washington association of school administrators, the Washington state school directors' association, and others with expertise in education finance that the superintendent may choose. By September 1, 2016, the working group shall submit to the education funding task force established in section 2 of this act recommendations on how to implement improved accounting procedures and practices, including requiring school districts to provide separate accounting of state, federal, and local revenue expenditures and also separate accounting of basic education and nonbasic education expenditures.</w:t>
      </w:r>
    </w:p>
    <w:p>
      <w:pPr>
        <w:spacing w:before="0" w:after="0" w:line="408" w:lineRule="exact"/>
        <w:ind w:left="0" w:right="0" w:firstLine="576"/>
        <w:jc w:val="left"/>
      </w:pPr>
      <w:r>
        <w:rPr>
          <w:u w:val="single"/>
        </w:rPr>
        <w:t xml:space="preserve">(2)</w:t>
      </w:r>
      <w:r>
        <w:rPr/>
        <w:t xml:space="preserve"> Notwithstanding any other provision of law, the superintendent of public instruction shall adopt such rules as will ensure proper budgetary procedures and practices, including monthly financial statements consistent with the provisions of RCW 43.09.200, and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local school district, notwithstanding any other provision of law, shall, within thirty days from the date the superintendent of public instruction issues a notice pursuant to subsection </w:t>
      </w:r>
      <w:r>
        <w:t>((</w:t>
      </w:r>
      <w:r>
        <w:rPr>
          <w:strike/>
        </w:rPr>
        <w:t xml:space="preserve">(2)</w:t>
      </w:r>
      <w:r>
        <w:t>))</w:t>
      </w:r>
      <w:r>
        <w:rPr/>
        <w:t xml:space="preserve"> </w:t>
      </w:r>
      <w:r>
        <w:rPr>
          <w:u w:val="single"/>
        </w:rPr>
        <w:t xml:space="preserve">(3)</w:t>
      </w:r>
      <w:r>
        <w:rPr/>
        <w:t xml:space="preserve">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local levy funds should not be used to pay for the program of basic education as defined by the legislature. The legislature further recognizes that when the auditor conducts audits of school districts that the audit should include ensuring that the school district is keeping federal, state, and local funds separate and that local levy funds are not being used for the program of basic education. The legislature intends to direct the auditor to make recommendations on how to ensure that school districts are not spending local levy funds to pay for basic education expenses.</w:t>
      </w:r>
    </w:p>
    <w:p>
      <w:pPr>
        <w:spacing w:before="0" w:after="0" w:line="408" w:lineRule="exact"/>
        <w:ind w:left="0" w:right="0" w:firstLine="576"/>
        <w:jc w:val="left"/>
      </w:pPr>
      <w:r>
        <w:rPr/>
        <w:t xml:space="preserve">(2) By June 1, 2016, the state auditor shall review its internal audit practices, review recent school district audits of a representative sample of school districts, including large, small, urban, and rural districts, and make recommendations to the education task force established in section 2 of this act on how adjustments can be made to the internal practices of both the auditor and the school districts to ensure that school districts are not using local levy funds for basic education. The review of recent school audits and any recommendations by the auditor required under this section shall not constitute a finding by the auditor against any of the school districts that are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schedule for an employee with a baccalaureate degree and zero years of service; and</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w:t>
      </w:r>
      <w:r>
        <w:rPr>
          <w:u w:val="single"/>
        </w:rPr>
        <w:t xml:space="preserve">(a) For local bargaining agreements prior to June 30, 2016, s</w:t>
      </w:r>
      <w:r>
        <w:rPr/>
        <w:t xml:space="preserve">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w:t>
      </w:r>
    </w:p>
    <w:p>
      <w:pPr>
        <w:spacing w:before="0" w:after="0" w:line="408" w:lineRule="exact"/>
        <w:ind w:left="0" w:right="0" w:firstLine="576"/>
        <w:jc w:val="left"/>
      </w:pPr>
      <w:r>
        <w:rPr>
          <w:u w:val="single"/>
        </w:rPr>
        <w:t xml:space="preserve">(b)(i) Beginning July 1, 2016, salaries and benefits for certificated instructional staff may exceed the limitations provided in subsection (3) of this section through a separate local compensation contract, which shall only be for the following:</w:t>
      </w:r>
    </w:p>
    <w:p>
      <w:pPr>
        <w:spacing w:before="0" w:after="0" w:line="408" w:lineRule="exact"/>
        <w:ind w:left="0" w:right="0" w:firstLine="576"/>
        <w:jc w:val="left"/>
      </w:pPr>
      <w:r>
        <w:rPr>
          <w:u w:val="single"/>
        </w:rPr>
        <w:t xml:space="preserve">(A) Additional recorded time for the implementation of new programs for students outside of the state-funded contract school day; or</w:t>
      </w:r>
    </w:p>
    <w:p>
      <w:pPr>
        <w:spacing w:before="0" w:after="0" w:line="408" w:lineRule="exact"/>
        <w:ind w:left="0" w:right="0" w:firstLine="576"/>
        <w:jc w:val="left"/>
      </w:pPr>
      <w:r>
        <w:rPr>
          <w:u w:val="single"/>
        </w:rPr>
        <w:t xml:space="preserve">(B) Time-based activities previously funded by the school district but not included in the collective bargaining agreement; or</w:t>
      </w:r>
    </w:p>
    <w:p>
      <w:pPr>
        <w:spacing w:before="0" w:after="0" w:line="408" w:lineRule="exact"/>
        <w:ind w:left="0" w:right="0" w:firstLine="576"/>
        <w:jc w:val="left"/>
      </w:pPr>
      <w:r>
        <w:rPr>
          <w:u w:val="single"/>
        </w:rPr>
        <w:t xml:space="preserve">(C) Additional time for staff development outside of the state-funded contract school day or school year.</w:t>
      </w:r>
    </w:p>
    <w:p>
      <w:pPr>
        <w:spacing w:before="0" w:after="0" w:line="408" w:lineRule="exact"/>
        <w:ind w:left="0" w:right="0" w:firstLine="576"/>
        <w:jc w:val="left"/>
      </w:pPr>
      <w:r>
        <w:rPr>
          <w:u w:val="single"/>
        </w:rPr>
        <w:t xml:space="preserve">(ii) The limitations in (b)(i) of this subsection shall not result in a salary reduction from school year 2015-16.</w:t>
      </w:r>
    </w:p>
    <w:p>
      <w:pPr>
        <w:spacing w:before="0" w:after="0" w:line="408" w:lineRule="exact"/>
        <w:ind w:left="0" w:right="0" w:firstLine="576"/>
        <w:jc w:val="left"/>
      </w:pPr>
      <w:r>
        <w:rPr>
          <w:u w:val="single"/>
        </w:rPr>
        <w:t xml:space="preserve">(c)</w:t>
      </w:r>
      <w:r>
        <w:rPr/>
        <w:t xml:space="preserv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must be taken by December 31, 2017, to reform school district levies, including addressing the scheduled reductions in school district levy authority percentages, the levy base due to the scheduled elimination of certain nonbasic education revenues that the school districts did not actually receive, and local effort assistance due to the reductions in levy authority and the levy 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d055cec470940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b0c862a857418a" /><Relationship Type="http://schemas.openxmlformats.org/officeDocument/2006/relationships/footer" Target="/word/footer.xml" Id="Rfd055cec47094007" /></Relationships>
</file>