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e790c2b3c4064" /></Relationships>
</file>

<file path=word/document.xml><?xml version="1.0" encoding="utf-8"?>
<w:document xmlns:w="http://schemas.openxmlformats.org/wordprocessingml/2006/main">
  <w:body>
    <w:p>
      <w:r>
        <w:t>S-3507.2</w:t>
      </w:r>
    </w:p>
    <w:p>
      <w:pPr>
        <w:jc w:val="center"/>
      </w:pPr>
      <w:r>
        <w:t>_______________________________________________</w:t>
      </w:r>
    </w:p>
    <w:p/>
    <w:p>
      <w:pPr>
        <w:jc w:val="center"/>
      </w:pPr>
      <w:r>
        <w:rPr>
          <w:b/>
        </w:rPr>
        <w:t>SENATE BILL 6192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Rolfes, Hasegawa, Nelson, Jayapal, Chase, Conway, Liias, Fraser, McAuliffe, and Frockt</w:t>
      </w:r>
    </w:p>
    <w:p/>
    <w:p>
      <w:r>
        <w:rPr>
          <w:t xml:space="preserve">Prefiled 01/08/16.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28A.180.040, 28A.180.090, 28A.300.042, 28A.300.505, 28A.300.507, 28A.165.035, 28A.165.055,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eight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RCW 28A.600.010 and 28A.600.015,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2020-21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2018-19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2018-19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under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2017,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2018.</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pPr>
        <w:spacing w:before="0" w:after="0" w:line="408" w:lineRule="exact"/>
        <w:ind w:left="0" w:right="0" w:firstLine="576"/>
        <w:jc w:val="left"/>
      </w:pPr>
      <w:r>
        <w:rPr/>
        <w:t xml:space="preserve">(2) The revised careers in education courses must incorporate:</w:t>
      </w:r>
    </w:p>
    <w:p>
      <w:pPr>
        <w:spacing w:before="0" w:after="0" w:line="408" w:lineRule="exact"/>
        <w:ind w:left="0" w:right="0" w:firstLine="576"/>
        <w:jc w:val="left"/>
      </w:pPr>
      <w:r>
        <w:rPr/>
        <w:t xml:space="preserve">(a) Standards for cultural competence developed by the professional educator standards board under RCW 28A.410.270;</w:t>
      </w:r>
    </w:p>
    <w:p>
      <w:pPr>
        <w:spacing w:before="0" w:after="0" w:line="408" w:lineRule="exact"/>
        <w:ind w:left="0" w:right="0" w:firstLine="576"/>
        <w:jc w:val="left"/>
      </w:pPr>
      <w:r>
        <w:rPr/>
        <w:t xml:space="preserve">(b) The most recent competency standards established by the professional educator standards board and new research on best practices for educator preparation and development; and</w:t>
      </w:r>
    </w:p>
    <w:p>
      <w:pPr>
        <w:spacing w:before="0" w:after="0" w:line="408" w:lineRule="exact"/>
        <w:ind w:left="0" w:right="0" w:firstLine="576"/>
        <w:jc w:val="left"/>
      </w:pPr>
      <w:r>
        <w:rPr/>
        <w:t xml:space="preserve">(c) Curriculum and activities used by the recruiting Washington teachers program under RCW 28A.415.370.</w:t>
      </w:r>
    </w:p>
    <w:p>
      <w:pPr>
        <w:spacing w:before="0" w:after="0" w:line="408" w:lineRule="exact"/>
        <w:ind w:left="0" w:right="0" w:firstLine="576"/>
        <w:jc w:val="left"/>
      </w:pPr>
      <w:r>
        <w:rPr/>
        <w:t xml:space="preserve">(3) The revisions must be completed before the 2017-18 school year.</w:t>
      </w:r>
    </w:p>
    <w:p>
      <w:pPr>
        <w:spacing w:before="0" w:after="0" w:line="408" w:lineRule="exact"/>
        <w:ind w:left="0" w:right="0" w:firstLine="576"/>
        <w:jc w:val="left"/>
      </w:pPr>
      <w:r>
        <w:rPr/>
        <w:t xml:space="preserve">(4) This section expires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The integrated student supports protocol and services under
section 801 of this act;</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2013 2nd sp.s. c 18 s 205 are each amended to read as follows:</w:t>
      </w:r>
    </w:p>
    <w:p>
      <w:pPr>
        <w:spacing w:before="0" w:after="0" w:line="408" w:lineRule="exact"/>
        <w:ind w:left="0" w:right="0" w:firstLine="576"/>
        <w:jc w:val="left"/>
      </w:pPr>
      <w:r>
        <w:rP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28A.655.235. </w:t>
      </w:r>
      <w:r>
        <w:rPr>
          <w:u w:val="single"/>
        </w:rPr>
        <w:t xml:space="preserve">The funds may also be appropriated for the integrated student supports protocol and services under section 801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f81c183500334d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641562e8674ed2" /><Relationship Type="http://schemas.openxmlformats.org/officeDocument/2006/relationships/footer" Target="/word/footer.xml" Id="Rf81c183500334d27" /></Relationships>
</file>