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335d1ef6d4c48" /></Relationships>
</file>

<file path=word/document.xml><?xml version="1.0" encoding="utf-8"?>
<w:document xmlns:w="http://schemas.openxmlformats.org/wordprocessingml/2006/main">
  <w:body>
    <w:p>
      <w:r>
        <w:t>S-3613.2</w:t>
      </w:r>
    </w:p>
    <w:p>
      <w:pPr>
        <w:jc w:val="center"/>
      </w:pPr>
      <w:r>
        <w:t>_______________________________________________</w:t>
      </w:r>
    </w:p>
    <w:p/>
    <w:p>
      <w:pPr>
        <w:jc w:val="center"/>
      </w:pPr>
      <w:r>
        <w:rPr>
          <w:b/>
        </w:rPr>
        <w:t>SENATE BILL 6180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Schoesler, and Hasegawa</w:t>
      </w:r>
    </w:p>
    <w:p/>
    <w:p>
      <w:r>
        <w:rPr>
          <w:t xml:space="preserve">Prefiled 01/07/16.</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disadvantaged business enterprise advisory committee within the transportation commission; amending RCW 47.01.071; adding a new section to chapter 47.01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disadvantaged business enterprise advisory committee is created within the commission with the intent to advise the commission on issues and concerns from the disadvantaged business enterprise community and to increase the level of accountability and transparency regarding disadvantaged business enterprise inclusion spending levels, goal setting, and overall participation on both state-only funded transportation projects and transportation projects that include federal funds. The advisory committee must create a mission, vision, and goals, and a work plan to complete such goals, and issue a report with recommendations to the house of representatives and senate transportation committees by December 31, 2016, and annually thereafter. The department, office of minority and women's business enterprises, department of labor and industries, and other relevant state agencies must be available to assist in supplying necessary data and information to fulfill the advisory committee's purposes. The advisory committee must consist of fifteen members, which must meet at least two times in the 2015-2017 fiscal biennium and four times each fiscal biennium thereafter or as needed. The advisory committee members must be jointly appointed for three-year terms with the opportunity for reappointment by the speaker of the house of representatives and the president of the senate who must receive input on nominees from the commission on Hispanic affairs, commission on African-American affairs, commission on Asian Pacific American affairs, and office of Indian affairs, with at least two representatives from each commission or office being appointed. Two disadvantaged business enterprise representatives selected by the minority and women's business enterprises advisory committee, one representative from the department of transportation's office of equal opportunity, and one member from each caucus in the house of representatives and senate must also be appointed to the advisory committee. The advisory committee must elect from its membership a chair and vice chair for a term of two years with the opportunity of reelection.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t xml:space="preserve">(6)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rPr/>
        <w:t xml:space="preserve">(7) To adopt such rules as may be necessary to carry out reasonably and properly those functions expressly vested in the commission by statute;</w:t>
      </w:r>
    </w:p>
    <w:p>
      <w:pPr>
        <w:spacing w:before="0" w:after="0" w:line="408" w:lineRule="exact"/>
        <w:ind w:left="0" w:right="0" w:firstLine="576"/>
        <w:jc w:val="left"/>
      </w:pPr>
      <w:r>
        <w:rPr/>
        <w:t xml:space="preserve">(8)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rPr/>
        <w:t xml:space="preserve">(9) To conduct transportation-related studies and policy analysis to the extent directed by the legislature or governor in the biennial transportation budget act, or as otherwise provided in law, and subject to the availability of amounts appropriated for this specific purpose; </w:t>
      </w:r>
      <w:r>
        <w:t>((</w:t>
      </w:r>
      <w:r>
        <w:rPr>
          <w:strike/>
        </w:rPr>
        <w:t xml:space="preserve">and</w:t>
      </w:r>
      <w:r>
        <w:t>))</w:t>
      </w:r>
    </w:p>
    <w:p>
      <w:pPr>
        <w:spacing w:before="0" w:after="0" w:line="408" w:lineRule="exact"/>
        <w:ind w:left="0" w:right="0" w:firstLine="576"/>
        <w:jc w:val="left"/>
      </w:pPr>
      <w:r>
        <w:rPr/>
        <w:t xml:space="preserve">(10) </w:t>
      </w:r>
      <w:r>
        <w:rPr>
          <w:u w:val="single"/>
        </w:rPr>
        <w:t xml:space="preserve">To administer the disadvantaged business enterprise advisory committee created in section 1 of this act; and</w:t>
      </w:r>
    </w:p>
    <w:p>
      <w:pPr>
        <w:spacing w:before="0" w:after="0" w:line="408" w:lineRule="exact"/>
        <w:ind w:left="0" w:right="0" w:firstLine="576"/>
        <w:jc w:val="left"/>
      </w:pPr>
      <w:r>
        <w:rPr>
          <w:u w:val="single"/>
        </w:rPr>
        <w:t xml:space="preserve">(11)</w:t>
      </w:r>
      <w:r>
        <w:rPr/>
        <w:t xml:space="preserve"> To exercise such other specific powers and duties as may be vested in the transportation commission by this or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biennium ending June 30, 2017, and each biennium thereafter, from the motor vehicle fund to the transportation commission for the purposes of assisting the disadvantaged business enterprise advisory committee created in section 1 of this act fulfill its purposes and reimbursing advisory committee member participation costs.</w:t>
      </w:r>
    </w:p>
    <w:p/>
    <w:p>
      <w:pPr>
        <w:jc w:val="center"/>
      </w:pPr>
      <w:r>
        <w:rPr>
          <w:b/>
        </w:rPr>
        <w:t>--- END ---</w:t>
      </w:r>
    </w:p>
    <w:sectPr>
      <w:pgNumType w:start="1"/>
      <w:footerReference xmlns:r="http://schemas.openxmlformats.org/officeDocument/2006/relationships" r:id="Re4709a336db243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ff2bba46841e1" /><Relationship Type="http://schemas.openxmlformats.org/officeDocument/2006/relationships/footer" Target="/word/footer.xml" Id="Re4709a336db24328" /></Relationships>
</file>