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cf295b90184a29" /></Relationships>
</file>

<file path=word/document.xml><?xml version="1.0" encoding="utf-8"?>
<w:document xmlns:w="http://schemas.openxmlformats.org/wordprocessingml/2006/main">
  <w:body>
    <w:p>
      <w:r>
        <w:t>S-3617.1</w:t>
      </w:r>
    </w:p>
    <w:p>
      <w:pPr>
        <w:jc w:val="center"/>
      </w:pPr>
      <w:r>
        <w:t>_______________________________________________</w:t>
      </w:r>
    </w:p>
    <w:p/>
    <w:p>
      <w:pPr>
        <w:jc w:val="center"/>
      </w:pPr>
      <w:r>
        <w:rPr>
          <w:b/>
        </w:rPr>
        <w:t>SENATE BILL 6166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Takko, Rivers, Ericksen, Chase, Roach, Becker, Sheldon, and Benton</w:t>
      </w:r>
    </w:p>
    <w:p/>
    <w:p>
      <w:r>
        <w:rPr>
          <w:t xml:space="preserve">Prefiled 01/06/16.</w:t>
        </w:rPr>
      </w:r>
      <w:r>
        <w:rPr>
          <w:t xml:space="preserve">Read first time 01/11/16.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incremental electricity produced as a result of certain capital investment projects to qualify as an eligible renewable resource under the energy independence act; and amending RCW 19.285.030 and 19.285.080.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w:t>
      </w:r>
      <w:r>
        <w:t>((</w:t>
      </w:r>
      <w:r>
        <w:rPr>
          <w:strike/>
        </w:rPr>
        <w:t xml:space="preserve">or</w:t>
      </w:r>
      <w:r>
        <w:t>))</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r>
        <w:rPr>
          <w:u w:val="single"/>
        </w:rPr>
        <w:t xml:space="preserve">; or</w:t>
      </w:r>
    </w:p>
    <w:p>
      <w:pPr>
        <w:spacing w:before="0" w:after="0" w:line="408" w:lineRule="exact"/>
        <w:ind w:left="0" w:right="0" w:firstLine="576"/>
        <w:jc w:val="left"/>
      </w:pPr>
      <w:r>
        <w:rPr>
          <w:u w:val="single"/>
        </w:rPr>
        <w:t xml:space="preserve">(f) Incremental electricity produced as a result of a capital investment project completed after March 31, 1999, that increases, relative to a baseline level of generation prior to the capital investment project, the amount of electricity generated by a generation facility that commenced operation before March 31, 1999, and is powered by a renewable resource other than freshwater</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2007 c 1 s 8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The department shall adopt rules concerning only process, timelines, and documentation to ensure the proper implementation of this chapter as it applies to qualifying utilities that are not investor</w:t>
      </w:r>
      <w:r>
        <w:rPr/>
        <w:noBreakHyphen/>
      </w:r>
      <w:r>
        <w:rPr/>
        <w:t xml:space="preserve">owned utilities. Those rules include, but are not limited to, rules associated with a qualifying utility's development of conservation targets under RCW 19.285.040(1); a qualifying utility's decision to pursue alternative compliance in RCW 19.285.040(2) (d) or (i) or 19.285.050(1); </w:t>
      </w:r>
      <w:r>
        <w:t>((</w:t>
      </w:r>
      <w:r>
        <w:rPr>
          <w:strike/>
        </w:rPr>
        <w:t xml:space="preserve">and</w:t>
      </w:r>
      <w:r>
        <w:t>))</w:t>
      </w:r>
      <w:r>
        <w:rPr/>
        <w:t xml:space="preserve"> the format and content of reports required in RCW 19.285.070</w:t>
      </w:r>
      <w:r>
        <w:rPr>
          <w:u w:val="single"/>
        </w:rPr>
        <w:t xml:space="preserve">; and the development of a methodology for calculating baseline levels of generation under RCW 19.285.030(12)(f)</w:t>
      </w:r>
      <w:r>
        <w:rPr/>
        <w:t xml:space="preserve">. Nothing in this subsection may be construed to restrict the rate-making authority of the commission or a qualifying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Pursuant to the administrative procedure act, chapter 34.05 RCW, rules needed for the implementation of this chapter must be adopted by December 31, 2007. These rules may be revised as needed to carry out the intent and purposes of this chapter.</w:t>
      </w:r>
    </w:p>
    <w:p/>
    <w:p>
      <w:pPr>
        <w:jc w:val="center"/>
      </w:pPr>
      <w:r>
        <w:rPr>
          <w:b/>
        </w:rPr>
        <w:t>--- END ---</w:t>
      </w:r>
    </w:p>
    <w:sectPr>
      <w:pgNumType w:start="1"/>
      <w:footerReference xmlns:r="http://schemas.openxmlformats.org/officeDocument/2006/relationships" r:id="Reaf4ff8fe33244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63648e193447f4" /><Relationship Type="http://schemas.openxmlformats.org/officeDocument/2006/relationships/footer" Target="/word/footer.xml" Id="Reaf4ff8fe332446f" /></Relationships>
</file>