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bd4997d57c486f" /></Relationships>
</file>

<file path=word/document.xml><?xml version="1.0" encoding="utf-8"?>
<w:document xmlns:w="http://schemas.openxmlformats.org/wordprocessingml/2006/main">
  <w:body>
    <w:p>
      <w:r>
        <w:t>S-3910.1</w:t>
      </w:r>
    </w:p>
    <w:p>
      <w:pPr>
        <w:jc w:val="center"/>
      </w:pPr>
      <w:r>
        <w:t>_______________________________________________</w:t>
      </w:r>
    </w:p>
    <w:p/>
    <w:p>
      <w:pPr>
        <w:jc w:val="center"/>
      </w:pPr>
      <w:r>
        <w:rPr>
          <w:b/>
        </w:rPr>
        <w:t>SUBSTITUTE SENATE BILL 6161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Higher Education (originally sponsored by Senators Bailey, Frockt, Conway, McAuliffe, and Hasegawa; by request of State Board for Community and Technical Colleges)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certain residents who do not have a high school diploma or credential and the number of students expected to enroll in basic education for adults courses at community and technical colleges in caseload forecast council forecasting; and amending RCW 43.88C.010 and 43.88C.050.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w:t>
      </w:r>
      <w:r>
        <w:rPr>
          <w:u w:val="single"/>
        </w:rPr>
        <w:t xml:space="preserve">, the number of state residents ages twenty-five to forty-four who do not have a high school diploma or credential, and the number of students expected to enroll in basic education for adults courses at community and technical colleges,</w:t>
      </w:r>
      <w:r>
        <w:rPr/>
        <w:t xml:space="preserve">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the department of early learning, the department of corrections, the health care authority, the superintendent of public instruction, the Washington student achievement council, the department of social and health services, </w:t>
      </w:r>
      <w:r>
        <w:rPr>
          <w:u w:val="single"/>
        </w:rPr>
        <w:t xml:space="preserve">the state board for community and technical colleges, the education data center,</w:t>
      </w:r>
      <w:r>
        <w:rPr/>
        <w:t xml:space="preserve"> and other agencies with caseloads forecasted by the council, such data, information, and data processing assistance as it may need to accomplish its duties, and such services shall be provided without cost to the caseload forecast council.</w:t>
      </w:r>
    </w:p>
    <w:p/>
    <w:p>
      <w:pPr>
        <w:jc w:val="center"/>
      </w:pPr>
      <w:r>
        <w:rPr>
          <w:b/>
        </w:rPr>
        <w:t>--- END ---</w:t>
      </w:r>
    </w:p>
    <w:sectPr>
      <w:pgNumType w:start="1"/>
      <w:footerReference xmlns:r="http://schemas.openxmlformats.org/officeDocument/2006/relationships" r:id="Ra19a2932b0d248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ac7de70394149" /><Relationship Type="http://schemas.openxmlformats.org/officeDocument/2006/relationships/footer" Target="/word/footer.xml" Id="Ra19a2932b0d24836" /></Relationships>
</file>