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2501adbf8c408f" /></Relationships>
</file>

<file path=word/document.xml><?xml version="1.0" encoding="utf-8"?>
<w:document xmlns:w="http://schemas.openxmlformats.org/wordprocessingml/2006/main">
  <w:body>
    <w:p>
      <w:r>
        <w:t>S-3277.1</w:t>
      </w:r>
    </w:p>
    <w:p>
      <w:pPr>
        <w:jc w:val="center"/>
      </w:pPr>
      <w:r>
        <w:t>_______________________________________________</w:t>
      </w:r>
    </w:p>
    <w:p/>
    <w:p>
      <w:pPr>
        <w:jc w:val="center"/>
      </w:pPr>
      <w:r>
        <w:rPr>
          <w:b/>
        </w:rPr>
        <w:t>SENATE BILL 6134</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 Padden</w:t>
      </w:r>
    </w:p>
    <w:p/>
    <w:p>
      <w:r>
        <w:rPr>
          <w:t xml:space="preserve">Read first time 06/15/15.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pretrial electronic alcohol monitoring programs from statutory limitations on pretrial supervision costs; and amending RCW 10.01.160.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w:t>
      </w:r>
      <w:r>
        <w:rPr>
          <w:u w:val="single"/>
        </w:rPr>
        <w:t xml:space="preserve">other than a pretrial electronic alcohol monitoring program</w:t>
      </w:r>
      <w:r>
        <w:rPr/>
        <w:t xml:space="preserve">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unless the defendant is or will be able to pay them. In determining the amount and method of payment of costs,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or modify the method of payment under RCW 10.01.170.</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
      <w:pPr>
        <w:jc w:val="center"/>
      </w:pPr>
      <w:r>
        <w:rPr>
          <w:b/>
        </w:rPr>
        <w:t>--- END ---</w:t>
      </w:r>
    </w:p>
    <w:sectPr>
      <w:pgNumType w:start="1"/>
      <w:footerReference xmlns:r="http://schemas.openxmlformats.org/officeDocument/2006/relationships" r:id="Rdd546f8a298547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f02cf50b5d49d2" /><Relationship Type="http://schemas.openxmlformats.org/officeDocument/2006/relationships/footer" Target="/word/footer.xml" Id="Rdd546f8a29854710" /></Relationships>
</file>