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03fdc88e0405b" /></Relationships>
</file>

<file path=word/document.xml><?xml version="1.0" encoding="utf-8"?>
<w:document xmlns:w="http://schemas.openxmlformats.org/wordprocessingml/2006/main">
  <w:body>
    <w:p>
      <w:r>
        <w:t>S-3005.2</w:t>
      </w:r>
    </w:p>
    <w:p>
      <w:pPr>
        <w:jc w:val="center"/>
      </w:pPr>
      <w:r>
        <w:t>_______________________________________________</w:t>
      </w:r>
    </w:p>
    <w:p/>
    <w:p>
      <w:pPr>
        <w:jc w:val="center"/>
      </w:pPr>
      <w:r>
        <w:rPr>
          <w:b/>
        </w:rPr>
        <w:t>SENATE BILL 6099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O'Ban, and Conway</w:t>
      </w:r>
    </w:p>
    <w:p/>
    <w:p>
      <w:r>
        <w:rPr>
          <w:t xml:space="preserve">Read first time 04/14/15.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appointing a representative for a crime victim in certain circumstances; amending RCW 9.94A.500; creating a new section;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1978, Arlene Roberts was found dead in her home. She was the eighty year old victim of a brutal murder by asphyxiation by strangulation. In 2010, detective Scott Tompkins reviewed the case files and matched fingerprints from the scene to Ronald Wayne MacDonald. MacDonald pleaded guilty to reduced charges in exchange for a five-year suspended sentence. At sentencing, Detective Tompkins spoke as the representative of the victim and asked for the maximum sentence, which the court imposed. The Washington state supreme court in </w:t>
      </w:r>
      <w:r>
        <w:rPr>
          <w:i/>
        </w:rPr>
        <w:t xml:space="preserve">State v. MacDonald</w:t>
      </w:r>
      <w:r>
        <w:rPr/>
        <w:t xml:space="preserve">, Cause No. 89912-6 (April 9, 2015), reversed and remanded for further action by the sentencing court holding that RCW 9.94A.500 does not permit an investigating officer serving as a representative of the victim in court to make a recommendation that undermines a plea agreement.</w:t>
      </w:r>
    </w:p>
    <w:p>
      <w:pPr>
        <w:ind w:left="0" w:right="0" w:firstLine="360"/>
        <w:jc w:val="both"/>
      </w:pPr>
      <w:r>
        <w:rPr/>
        <w:t xml:space="preserve">The dissent in the case argued persuasively that a "crime victim has the basic and fundamental right ... to make a statement at sentencing" (Washington State Constitution, Article I, section 35.3). This right cannot be minimized on the basis that the victim of a brutal homicide is deceased. Instead, where the "victim is deceased ... the prosecuting attorney may identify a representative to appear to exercise the victim's rights." The dissent further noted that "[w]ith no family, friends, or estate to speak or request a victim representative, Detective Tompkins was the only person familiar with the horrific reality of the victim's death. Without Detective Tompkins, the victim would have had no one to speak on her behalf."</w:t>
      </w:r>
    </w:p>
    <w:p>
      <w:pPr>
        <w:ind w:left="0" w:right="0" w:firstLine="360"/>
        <w:jc w:val="both"/>
      </w:pPr>
      <w:r>
        <w:rPr/>
        <w:t xml:space="preserve">The legislature finds that in extremely narrow circumstances where the victim is deceased and has no estate or surviving family or any other representative, a prosecuting attorney shall be able to exercise his or her authority under Article I, section 35.3 to appoint an investigating officer to serve as the representative of the victim for the purposes of sentencing under RCW 9.94A.500. This act is intended to clarify and cure any ambiguity that might have led to the Washington state supreme court's decision in </w:t>
      </w:r>
      <w:r>
        <w:rPr>
          <w:i/>
        </w:rPr>
        <w:t xml:space="preserve">State v. MacDonald</w:t>
      </w:r>
      <w:r>
        <w:rPr/>
        <w:t xml:space="preserve">, Cause No. 89912-6 (April 9, 2015), and shall be applied retroactively.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2013 c 200 s 33 are each amended to read as follows:</w:t>
      </w:r>
    </w:p>
    <w:p>
      <w:pPr>
        <w:ind w:left="0" w:right="0" w:firstLine="360"/>
        <w:jc w:val="both"/>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ind w:left="0" w:right="0" w:firstLine="360"/>
        <w:jc w:val="both"/>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ind w:left="0" w:right="0" w:firstLine="360"/>
        <w:jc w:val="both"/>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ind w:left="0" w:right="0" w:firstLine="360"/>
        <w:jc w:val="both"/>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 </w:t>
      </w:r>
      <w:r>
        <w:rPr>
          <w:u w:val="single"/>
        </w:rPr>
        <w:t xml:space="preserve">If the victim is deceased and has no estate or surviving family or any other representative, a prosecuting attorney may appoint an investigative law enforcement officer to serve as a representative of the victim. A law enforcement officer appointed as a representative of the victim may make a recommendation for a sentence different than that provided in a plea agreement.</w:t>
      </w:r>
    </w:p>
    <w:p>
      <w:pPr>
        <w:ind w:left="0" w:right="0" w:firstLine="360"/>
        <w:jc w:val="both"/>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ind w:left="0" w:right="0" w:firstLine="360"/>
        <w:jc w:val="both"/>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7f9b20af29e64b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74b53b75eb4d41" /><Relationship Type="http://schemas.openxmlformats.org/officeDocument/2006/relationships/footer" Target="/word/footer.xml" Id="R7f9b20af29e64b31" /></Relationships>
</file>