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a08aa7f0334688" /></Relationships>
</file>

<file path=word/document.xml><?xml version="1.0" encoding="utf-8"?>
<w:document xmlns:w="http://schemas.openxmlformats.org/wordprocessingml/2006/main">
  <w:body>
    <w:p>
      <w:r>
        <w:t>S-2825.1</w:t>
      </w:r>
    </w:p>
    <w:p>
      <w:pPr>
        <w:jc w:val="center"/>
      </w:pPr>
      <w:r>
        <w:t>_______________________________________________</w:t>
      </w:r>
    </w:p>
    <w:p/>
    <w:p>
      <w:pPr>
        <w:jc w:val="center"/>
      </w:pPr>
      <w:r>
        <w:rPr>
          <w:b/>
        </w:rPr>
        <w:t>SENATE BILL 6094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Frockt, Hargrove, and McAuliffe</w:t>
      </w:r>
    </w:p>
    <w:p/>
    <w:p>
      <w:r>
        <w:rPr>
          <w:t xml:space="preserve">Read first time 04/02/15.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freezing resident undergraduate tuition at the four-year institutions of higher education; amending RCW 28B.15.067;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lock tuition rates for students at the public baccalaureate institutions after their initial year of enrollment regardless of whether tuition-setting authority remains with the institutions of higher education or reverts to the omnibus appropriations act. Furthermore, if either the public baccalaureate institutions, or the legislature through the omnibus appropriations act, decreases tuition rates, the legislature intends for this to apply to all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w:t>
      </w:r>
      <w:r>
        <w:rPr>
          <w:u w:val="single"/>
        </w:rPr>
        <w:t xml:space="preserve">(a)</w:t>
      </w:r>
      <w:r>
        <w:rPr/>
        <w:t xml:space="preserve"> Beginning in the 2011-12 academic year, reductions or increases in full-time tuition fees shall be as provided in the omnibus appropriations act for resident undergraduate students at community and technical colleges. The </w:t>
      </w:r>
      <w:r>
        <w:t>((</w:t>
      </w:r>
      <w:r>
        <w:rPr>
          <w:strike/>
        </w:rPr>
        <w:t xml:space="preserve">governing boards of the state universities, regional universities, and The Evergreen State College; and the</w:t>
      </w:r>
      <w:r>
        <w:t>))</w:t>
      </w:r>
      <w:r>
        <w:rPr/>
        <w:t xml:space="preserv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u w:val="single"/>
        </w:rPr>
        <w:t xml:space="preserve">(b)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w:t>
      </w:r>
      <w:r>
        <w:t>((</w:t>
      </w:r>
      <w:r>
        <w:rPr>
          <w:strike/>
        </w:rPr>
        <w:t xml:space="preserve">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strike/>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strike/>
        </w:rPr>
        <w:t xml:space="preserve">(4)</w:t>
      </w:r>
      <w:r>
        <w:t>))</w:t>
      </w:r>
      <w:r>
        <w:rPr/>
        <w:t xml:space="preserve"> </w:t>
      </w:r>
      <w:r>
        <w:rPr>
          <w:u w:val="single"/>
        </w:rPr>
        <w:t xml:space="preserve">(i)</w:t>
      </w:r>
      <w:r>
        <w:rPr/>
        <w:t xml:space="preserve">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If state funding for a college or university falls below the state funding provided in the operating budget for fiscal year 2011, the governing board may increase tuition up to the limits set in </w:t>
      </w:r>
      <w:r>
        <w:t>((</w:t>
      </w:r>
      <w:r>
        <w:rPr>
          <w:strike/>
        </w:rPr>
        <w:t xml:space="preserve">(d)</w:t>
      </w:r>
      <w:r>
        <w:t>))</w:t>
      </w:r>
      <w:r>
        <w:rPr/>
        <w:t xml:space="preserve"> </w:t>
      </w:r>
      <w:r>
        <w:rPr>
          <w:u w:val="single"/>
        </w:rPr>
        <w:t xml:space="preserve">(b)(i)(D)</w:t>
      </w:r>
      <w:r>
        <w:rPr/>
        <w:t xml:space="preserve"> of this subsection, reduce enrollments, or both;</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If state funding for a college or university is at least at the level of state funding provided in the operating budget for fiscal year 2011, the governing board may increase tuition up to the limits set in </w:t>
      </w:r>
      <w:r>
        <w:t>((</w:t>
      </w:r>
      <w:r>
        <w:rPr>
          <w:strike/>
        </w:rPr>
        <w:t xml:space="preserve">(d)</w:t>
      </w:r>
      <w:r>
        <w:t>))</w:t>
      </w:r>
      <w:r>
        <w:rPr/>
        <w:t xml:space="preserve"> </w:t>
      </w:r>
      <w:r>
        <w:rPr>
          <w:u w:val="single"/>
        </w:rPr>
        <w:t xml:space="preserve">(b)(i)(D)</w:t>
      </w:r>
      <w:r>
        <w:rPr/>
        <w:t xml:space="preserve">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The amount of tuition set by the governing board for an institution under this subsection </w:t>
      </w:r>
      <w:r>
        <w:t>((</w:t>
      </w:r>
      <w:r>
        <w:rPr>
          <w:strike/>
        </w:rPr>
        <w:t xml:space="preserve">(4)</w:t>
      </w:r>
      <w:r>
        <w:t>))</w:t>
      </w:r>
      <w:r>
        <w:rPr/>
        <w:t xml:space="preserve"> </w:t>
      </w:r>
      <w:r>
        <w:rPr>
          <w:u w:val="single"/>
        </w:rPr>
        <w:t xml:space="preserve">(3)(b)(i)</w:t>
      </w:r>
      <w:r>
        <w:rPr/>
        <w:t xml:space="preserve">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t>((</w:t>
      </w:r>
      <w:r>
        <w:rPr>
          <w:strike/>
        </w:rPr>
        <w:t xml:space="preserve">(5)</w:t>
      </w:r>
      <w:r>
        <w:t>))</w:t>
      </w:r>
      <w:r>
        <w:rPr/>
        <w:t xml:space="preserve"> </w:t>
      </w:r>
      <w:r>
        <w:rPr>
          <w:u w:val="single"/>
        </w:rPr>
        <w:t xml:space="preserve">(ii)(A) Beginning with the 2015-16 academic year and subject to funds specifically appropriated to fully offset any revenue forgone by the institutions under this subsection (3)(b)(ii), full-time tuition fees for a resident undergraduate student at a state university, regional university, or The Evergreen State College shall not be increased above the level that the student paid during his or her initial year of enrollment for the amount of time normally required for a full-time student to complete the student's degree requirements as determined by the institution, plus one additional term, from the date of the student's initial enrollment in the institution.</w:t>
      </w:r>
    </w:p>
    <w:p>
      <w:pPr>
        <w:spacing w:before="0" w:after="0" w:line="408" w:lineRule="exact"/>
        <w:ind w:left="0" w:right="0" w:firstLine="576"/>
        <w:jc w:val="left"/>
      </w:pPr>
      <w:r>
        <w:rPr>
          <w:u w:val="single"/>
        </w:rPr>
        <w:t xml:space="preserve">(B) Students must maintain full-time status and be continuously enrolled, with the exception of summer term, to be eligible for the tuition provisions in this subsection (3)(b)(ii).</w:t>
      </w:r>
    </w:p>
    <w:p>
      <w:pPr>
        <w:spacing w:before="0" w:after="0" w:line="408" w:lineRule="exact"/>
        <w:ind w:left="0" w:right="0" w:firstLine="576"/>
        <w:jc w:val="left"/>
      </w:pPr>
      <w:r>
        <w:rPr>
          <w:u w:val="single"/>
        </w:rPr>
        <w:t xml:space="preserve">(C) Institutions subject to this subsection (3)(b)(ii) may not implement differential tuition for resident undergraduate students affected by this subsection (3)(b)(ii).</w:t>
      </w:r>
    </w:p>
    <w:p>
      <w:pPr>
        <w:spacing w:before="0" w:after="0" w:line="408" w:lineRule="exact"/>
        <w:ind w:left="0" w:right="0" w:firstLine="576"/>
        <w:jc w:val="left"/>
      </w:pPr>
      <w:r>
        <w:rPr>
          <w:u w:val="single"/>
        </w:rPr>
        <w:t xml:space="preserve">(iii)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u w:val="single"/>
        </w:rPr>
        <w:t xml:space="preserve">(c)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must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u w:val="single"/>
        </w:rPr>
        <w:t xml:space="preserve">(4)</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
      <w:pPr>
        <w:jc w:val="center"/>
      </w:pPr>
      <w:r>
        <w:rPr>
          <w:b/>
        </w:rPr>
        <w:t>--- END ---</w:t>
      </w:r>
    </w:p>
    <w:sectPr>
      <w:pgNumType w:start="1"/>
      <w:footerReference xmlns:r="http://schemas.openxmlformats.org/officeDocument/2006/relationships" r:id="Rc1933baa57ac44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1e38e94574f4a" /><Relationship Type="http://schemas.openxmlformats.org/officeDocument/2006/relationships/footer" Target="/word/footer.xml" Id="Rc1933baa57ac443f" /></Relationships>
</file>