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348672199c41f8" /></Relationships>
</file>

<file path=word/document.xml><?xml version="1.0" encoding="utf-8"?>
<w:document xmlns:w="http://schemas.openxmlformats.org/wordprocessingml/2006/main">
  <w:body>
    <w:p>
      <w:r>
        <w:t>S-2685.1</w:t>
      </w:r>
    </w:p>
    <w:p>
      <w:pPr>
        <w:jc w:val="center"/>
      </w:pPr>
      <w:r>
        <w:t>_______________________________________________</w:t>
      </w:r>
    </w:p>
    <w:p/>
    <w:p>
      <w:pPr>
        <w:jc w:val="center"/>
      </w:pPr>
      <w:r>
        <w:rPr>
          <w:b/>
        </w:rPr>
        <w:t>SENATE BILL 6086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and Keiser</w:t>
      </w:r>
    </w:p>
    <w:p/>
    <w:p>
      <w:r>
        <w:rPr>
          <w:t xml:space="preserve">Read first time 03/27/15.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hospitals licensed under chapter 70.41 RCW that receive capital funds to operate new psychiatric services from certain certificate of need requirements; adding a new section to chapter 70.38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accommodate the urgent need for inpatient psychiatric services and to facilitate state compliance with the Washington state supreme court decision, </w:t>
      </w:r>
      <w:r>
        <w:rPr>
          <w:i/>
        </w:rPr>
        <w:t xml:space="preserve">In re the Detention of D.W.</w:t>
      </w:r>
      <w:r>
        <w:rPr/>
        <w:t xml:space="preserve">, No. 90110–4, August 7, 2014, which prohibits the practice of psychiatric boarding, the legislature intends to exempt certain hospital mental health projects provided grant funding by the department of commerce from certificate of need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For a grant awarded during fiscal years 2016 and 2017 by the department of commerce under this section, hospitals licensed under chapter 70.41 RCW are not subject to certificate of need requirements for the addition of new psychiatric beds. The department of commerce may not make a prior approval of a certificate of need application a condition for a grant application under this section. The period during which an approved hospital project qualifies for a certificate of need exemption under this section is two years from the date of the grant award. </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55afe3cad5044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11c141777e4133" /><Relationship Type="http://schemas.openxmlformats.org/officeDocument/2006/relationships/footer" Target="/word/footer.xml" Id="Rf55afe3cad504490" /></Relationships>
</file>