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0dc9f5f09426c" /></Relationships>
</file>

<file path=word/document.xml><?xml version="1.0" encoding="utf-8"?>
<w:document xmlns:w="http://schemas.openxmlformats.org/wordprocessingml/2006/main">
  <w:body>
    <w:p>
      <w:r>
        <w:t>S-1842.1</w:t>
      </w:r>
    </w:p>
    <w:p>
      <w:pPr>
        <w:jc w:val="center"/>
      </w:pPr>
      <w:r>
        <w:t>_______________________________________________</w:t>
      </w:r>
    </w:p>
    <w:p/>
    <w:p>
      <w:pPr>
        <w:jc w:val="center"/>
      </w:pPr>
      <w:r>
        <w:rPr>
          <w:b/>
        </w:rPr>
        <w:t>SENATE BILL 6032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02/18/15.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petitions for adoption, amendment, or repeal of agency rules; and amending RCW 34.05.330.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330</w:t>
      </w:r>
      <w:r>
        <w:rPr/>
        <w:t xml:space="preserve"> and 1998 c 280 s 5 are each amended to read as follows:</w:t>
      </w:r>
    </w:p>
    <w:p>
      <w:pPr>
        <w:spacing w:before="0" w:after="0" w:line="408" w:lineRule="exact"/>
        <w:ind w:left="0" w:right="0" w:firstLine="576"/>
        <w:jc w:val="left"/>
      </w:pPr>
      <w:r>
        <w:rPr/>
        <w:t xml:space="preserve">(1) Any person may petition an agency requesting the adoption, amendment, or repeal of any rule. The office of financial management shall prescribe by rule the format for such petitions and the procedure for their submission, consideration, and disposition and provide a standard form that may be used to petition any agency. Within sixty days after submission of a petition, the agency shall either (a) deny the petition in writing, stating (i) its reasons for the denial, specifically addressing the concerns raised by the petitioner, and, where appropriate, (ii) the alternative means by which it will address the concerns raised by the petitioner, or (b) initiate rule-making proceedings in accordance with RCW 34.05.320.</w:t>
      </w:r>
    </w:p>
    <w:p>
      <w:pPr>
        <w:spacing w:before="0" w:after="0" w:line="408" w:lineRule="exact"/>
        <w:ind w:left="0" w:right="0" w:firstLine="576"/>
        <w:jc w:val="left"/>
      </w:pPr>
      <w:r>
        <w:rPr/>
        <w:t xml:space="preserve">(2) </w:t>
      </w:r>
      <w:r>
        <w:rPr>
          <w:u w:val="single"/>
        </w:rPr>
        <w:t xml:space="preserve">If an agency denies a petition under subsection (1) of this section, the agency shall notify the petitioner in writing. The written notice must identify the petition and the agency's reasons for the denial, and must advise the petitioner of the right to request a brief hearing for the purpose of testifying before the agency to reconsider the denial. The notice must advise the petitioner how he or she may exercise that right. The petitioner has ten days from receipt of the notice of denial to request reconsideration by the agency. The petitioner must submit the request for reconsideration in writing in accordance with the agency instructions for requesting reconsideration. The petitioner may include written materials supporting reconsideration which must be considered by the agency. Upon receipt of a timely request for reconsideration, the agency shall grant a brief hearing at a date agreed upon by the petitioner as soon as practicable. A timely request for reconsideration tolls the time for filing an appeal under subsection (4) of this section. The brief hearing shall be limited to the purposes of the petition and the effect of the denial. Upon completion of the brief hearing for reconsideration, the agency shall either (a) deny the petition in writing, stating (i) its reasons for the denial of reconsideration, specifically addressing the concerns raised by the petitioner, and, where appropriate, (ii) the alternative means by which it will address the concerns raised by the petitioner, or (b) initiate rule-making proceedings in accordance with RCW 34.05.320. A written denial of the request for reconsideration is treated as a denial of the petition and may be appealed as provided under subsection (4) of this section, provided that the petitioner has an additional thirty days for appeal from the date of the denial of reconsideration.</w:t>
      </w:r>
    </w:p>
    <w:p>
      <w:pPr>
        <w:spacing w:before="0" w:after="0" w:line="408" w:lineRule="exact"/>
        <w:ind w:left="0" w:right="0" w:firstLine="576"/>
        <w:jc w:val="left"/>
      </w:pPr>
      <w:r>
        <w:rPr>
          <w:u w:val="single"/>
        </w:rPr>
        <w:t xml:space="preserve">(3)</w:t>
      </w:r>
      <w:r>
        <w:rPr/>
        <w:t xml:space="preserve"> If an agency denies a petition to repeal or amend a rule submitted under subsection (1) of this section, and the petition alleges that the rule is not within the intent of the legislature or was not adopted in accordance with all applicable provisions of law, the person may petition for review of the rule by the joint administrative rules review committee under RCW 34.05.655.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agency denies a petition to repeal or amend a rule submitted under subsection (1) of this section, the petitioner, within thirty days of the denial, may appeal the denial to the governor. The governor shall immediately file notice of the appeal with the code reviser for publication in the Washington state register. Within forty-five days after receiving the appeal, the governor shall either (a) deny the petition in writing, stating (i) his or her reasons for the denial, specifically addressing the concerns raised by the petitioner, and, (ii) where appropriate, the alternative means by which he or she will address the concerns raised by the petitioner; (b) for agencies listed in RCW 43.17.010, direct the agency to initiate rule-making proceedings in accordance with this chapter; or (c) for agencies not listed in RCW 43.17.010, recommend that the agency initiate rule-making proceedings in accordance with this chapter. The governor's response to the appeal shall be published in the Washington state register and copies shall be submitted to the chief clerk of the house of representatives and the secretary of the senate.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petitioning for repeal or amendment of a rule under this section, a person is encouraged to address, among other concerns:</w:t>
      </w:r>
    </w:p>
    <w:p>
      <w:pPr>
        <w:spacing w:before="0" w:after="0" w:line="408" w:lineRule="exact"/>
        <w:ind w:left="0" w:right="0" w:firstLine="576"/>
        <w:jc w:val="left"/>
      </w:pPr>
      <w:r>
        <w:rPr/>
        <w:t xml:space="preserve">(a) Whether the rule is authorized;</w:t>
      </w:r>
    </w:p>
    <w:p>
      <w:pPr>
        <w:spacing w:before="0" w:after="0" w:line="408" w:lineRule="exact"/>
        <w:ind w:left="0" w:right="0" w:firstLine="576"/>
        <w:jc w:val="left"/>
      </w:pPr>
      <w:r>
        <w:rPr/>
        <w:t xml:space="preserve">(b) Whether the rule is needed;</w:t>
      </w:r>
    </w:p>
    <w:p>
      <w:pPr>
        <w:spacing w:before="0" w:after="0" w:line="408" w:lineRule="exact"/>
        <w:ind w:left="0" w:right="0" w:firstLine="576"/>
        <w:jc w:val="left"/>
      </w:pPr>
      <w:r>
        <w:rPr/>
        <w:t xml:space="preserve">(c) Whether the rule conflicts with or duplicates other federal, state, or local laws;</w:t>
      </w:r>
    </w:p>
    <w:p>
      <w:pPr>
        <w:spacing w:before="0" w:after="0" w:line="408" w:lineRule="exact"/>
        <w:ind w:left="0" w:right="0" w:firstLine="576"/>
        <w:jc w:val="left"/>
      </w:pPr>
      <w:r>
        <w:rPr/>
        <w:t xml:space="preserve">(d) Whether alternatives to the rule exist that will serve the same purpose at less cost;</w:t>
      </w:r>
    </w:p>
    <w:p>
      <w:pPr>
        <w:spacing w:before="0" w:after="0" w:line="408" w:lineRule="exact"/>
        <w:ind w:left="0" w:right="0" w:firstLine="576"/>
        <w:jc w:val="left"/>
      </w:pPr>
      <w:r>
        <w:rPr/>
        <w:t xml:space="preserve">(e) Whether the rule applies differently to public and private entities;</w:t>
      </w:r>
    </w:p>
    <w:p>
      <w:pPr>
        <w:spacing w:before="0" w:after="0" w:line="408" w:lineRule="exact"/>
        <w:ind w:left="0" w:right="0" w:firstLine="576"/>
        <w:jc w:val="left"/>
      </w:pPr>
      <w:r>
        <w:rPr/>
        <w:t xml:space="preserve">(f) Whether the rule serves the purposes for which it was adopted;</w:t>
      </w:r>
    </w:p>
    <w:p>
      <w:pPr>
        <w:spacing w:before="0" w:after="0" w:line="408" w:lineRule="exact"/>
        <w:ind w:left="0" w:right="0" w:firstLine="576"/>
        <w:jc w:val="left"/>
      </w:pPr>
      <w:r>
        <w:rPr/>
        <w:t xml:space="preserve">(g) Whether the costs imposed by the rule are unreasonable;</w:t>
      </w:r>
    </w:p>
    <w:p>
      <w:pPr>
        <w:spacing w:before="0" w:after="0" w:line="408" w:lineRule="exact"/>
        <w:ind w:left="0" w:right="0" w:firstLine="576"/>
        <w:jc w:val="left"/>
      </w:pPr>
      <w:r>
        <w:rPr/>
        <w:t xml:space="preserve">(h) Whether the rule is clearly and simply stated;</w:t>
      </w:r>
    </w:p>
    <w:p>
      <w:pPr>
        <w:spacing w:before="0" w:after="0" w:line="408" w:lineRule="exact"/>
        <w:ind w:left="0" w:right="0" w:firstLine="576"/>
        <w:jc w:val="left"/>
      </w:pPr>
      <w:r>
        <w:rPr/>
        <w:t xml:space="preserve">(i) Whether the rule is different than a federal law applicable to the same activity or subject matter without adequate justification; and</w:t>
      </w:r>
    </w:p>
    <w:p>
      <w:pPr>
        <w:spacing w:before="0" w:after="0" w:line="408" w:lineRule="exact"/>
        <w:ind w:left="0" w:right="0" w:firstLine="576"/>
        <w:jc w:val="left"/>
      </w:pPr>
      <w:r>
        <w:rPr/>
        <w:t xml:space="preserve">(j) Whether the rule was adopted according to all applicable provisions of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w:t>
      </w:r>
      <w:r>
        <w:t>((</w:t>
      </w:r>
      <w:r>
        <w:rPr>
          <w:strike/>
        </w:rPr>
        <w:t xml:space="preserve">community, trade, and economic development</w:t>
      </w:r>
      <w:r>
        <w:t>))</w:t>
      </w:r>
      <w:r>
        <w:rPr/>
        <w:t xml:space="preserve"> </w:t>
      </w:r>
      <w:r>
        <w:rPr>
          <w:u w:val="single"/>
        </w:rPr>
        <w:t xml:space="preserve">commerce</w:t>
      </w:r>
      <w:r>
        <w:rPr/>
        <w:t xml:space="preserve"> and the office of financial management shall coordinate efforts among agencies to inform the public about the existence of this rules review process.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office of financial management shall initiate the rule making required by subsection (1) of this section by September 1, 1995.</w:t>
      </w:r>
    </w:p>
    <w:p/>
    <w:p>
      <w:pPr>
        <w:jc w:val="center"/>
      </w:pPr>
      <w:r>
        <w:rPr>
          <w:b/>
        </w:rPr>
        <w:t>--- END ---</w:t>
      </w:r>
    </w:p>
    <w:sectPr>
      <w:pgNumType w:start="1"/>
      <w:footerReference xmlns:r="http://schemas.openxmlformats.org/officeDocument/2006/relationships" r:id="Rb0a4dbfb885348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e25b2bf24c4054" /><Relationship Type="http://schemas.openxmlformats.org/officeDocument/2006/relationships/footer" Target="/word/footer.xml" Id="Rb0a4dbfb88534825" /></Relationships>
</file>