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58c8ced5fe4e3f" /></Relationships>
</file>

<file path=word/document.xml><?xml version="1.0" encoding="utf-8"?>
<w:document xmlns:w="http://schemas.openxmlformats.org/wordprocessingml/2006/main">
  <w:body>
    <w:p>
      <w:r>
        <w:t>S-2002.1</w:t>
      </w:r>
    </w:p>
    <w:p>
      <w:pPr>
        <w:jc w:val="center"/>
      </w:pPr>
      <w:r>
        <w:t>_______________________________________________</w:t>
      </w:r>
    </w:p>
    <w:p/>
    <w:p>
      <w:pPr>
        <w:jc w:val="center"/>
      </w:pPr>
      <w:r>
        <w:rPr>
          <w:b/>
        </w:rPr>
        <w:t>SUBSTITUTE SENATE BILL 5999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Darneille)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caseload forecast council; amending RCW 43.88C.010, 43.88C.050, 43.215.456, and 43.185C.220;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first forecast of children eligible for, and the number of children actually served by, the early childhood education and assistance program, as required by RCW 43.88C.010, shall be prepared by the caseload forecast council in time to facilitate the development of budget proposals by the governor for the 2016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r>
        <w:rPr>
          <w:u w:val="single"/>
        </w:rPr>
        <w:t xml:space="preserve">;</w:t>
      </w:r>
    </w:p>
    <w:p>
      <w:pPr>
        <w:spacing w:before="0" w:after="0" w:line="408" w:lineRule="exact"/>
        <w:ind w:left="0" w:right="0" w:firstLine="576"/>
        <w:jc w:val="left"/>
      </w:pPr>
      <w:r>
        <w:rPr>
          <w:u w:val="single"/>
        </w:rPr>
        <w:t xml:space="preserve">(c) The number of children who are eligible, as defined in RCW 43.215.405, to participate in, and the number of children actually served by, the early childhood education and assistance program</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2011 1st sp.s. c 40 s 29 are each amended to read as follows:</w:t>
      </w:r>
    </w:p>
    <w:p>
      <w:pPr>
        <w:spacing w:before="0" w:after="0" w:line="408" w:lineRule="exact"/>
        <w:ind w:left="0" w:right="0" w:firstLine="576"/>
        <w:jc w:val="left"/>
      </w:pPr>
      <w:r>
        <w:rPr/>
        <w:t xml:space="preserve">The caseload forecast council shall appoint a research staff of sufficient size and with sufficient resources to accomplish its duties. The caseload forecast council may request from the administrative office of the courts </w:t>
      </w:r>
      <w:r>
        <w:t>((</w:t>
      </w:r>
      <w:r>
        <w:rPr>
          <w:strike/>
        </w:rPr>
        <w:t xml:space="preserve">and</w:t>
      </w:r>
      <w:r>
        <w:t>))</w:t>
      </w:r>
      <w:r>
        <w:rPr>
          <w:u w:val="single"/>
        </w:rPr>
        <w:t xml:space="preserve">, the department of early learning, the department of corrections, the health care authority, the superintendent of public instruction, the Washington student achievement council,</w:t>
      </w:r>
      <w:r>
        <w:rPr/>
        <w:t xml:space="preserve"> the department of social and health services</w:t>
      </w:r>
      <w:r>
        <w:rPr>
          <w:u w:val="single"/>
        </w:rPr>
        <w:t xml:space="preserve">, and other agencies with caseloads forecasted by the council,</w:t>
      </w:r>
      <w:r>
        <w:rPr/>
        <w:t xml:space="preserve"> such data, information, and data processing assistance as it may need to accomplish its duties, and such services shall be provided without cost to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456</w:t>
      </w:r>
      <w:r>
        <w:rPr/>
        <w:t xml:space="preserve"> and 2010 c 231 s 4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Allocations must be made on the basis of eligible children enrolled with eligible providers.</w:t>
      </w:r>
    </w:p>
    <w:p>
      <w:pPr>
        <w:spacing w:before="0" w:after="0" w:line="408" w:lineRule="exact"/>
        <w:ind w:left="0" w:right="0" w:firstLine="576"/>
        <w:jc w:val="left"/>
      </w:pPr>
      <w:r>
        <w:rPr/>
        <w:t xml:space="preserve">(2) The program shall be implemented in phases, so that full implementation is achieved in the 2018</w:t>
      </w:r>
      <w:r>
        <w:rPr/>
        <w:noBreakHyphen/>
      </w:r>
      <w:r>
        <w:rPr/>
        <w:t xml:space="preserve">19 school year.</w:t>
      </w:r>
    </w:p>
    <w:p>
      <w:pPr>
        <w:spacing w:before="0" w:after="0" w:line="408" w:lineRule="exact"/>
        <w:ind w:left="0" w:right="0" w:firstLine="576"/>
        <w:jc w:val="left"/>
      </w:pPr>
      <w:r>
        <w:rPr/>
        <w:t xml:space="preserve">(3) 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spacing w:before="0" w:after="0" w:line="408" w:lineRule="exact"/>
        <w:ind w:left="0" w:right="0" w:firstLine="576"/>
        <w:jc w:val="left"/>
      </w:pPr>
      <w:r>
        <w:rPr/>
        <w:t xml:space="preserve">(4) Beginning in the 2013-14 school year, additional funding for the program must be phased in beginning in school districts providing all-day kindergarten programs under RCW 28A.150.315.</w:t>
      </w:r>
    </w:p>
    <w:p>
      <w:pPr>
        <w:spacing w:before="0" w:after="0" w:line="408" w:lineRule="exact"/>
        <w:ind w:left="0" w:right="0" w:firstLine="576"/>
        <w:jc w:val="left"/>
      </w:pPr>
      <w:r>
        <w:rPr/>
        <w:t xml:space="preserve">(5) Funding shall continue to be phased in incrementally each year until full statewide implementation of the early learning program is achieved in the 2018-19 school year, at which time any eligible child shall be entitled to be enrolled in the program.</w:t>
      </w:r>
    </w:p>
    <w:p>
      <w:pPr>
        <w:spacing w:before="0" w:after="0" w:line="408" w:lineRule="exact"/>
        <w:ind w:left="0" w:right="0" w:firstLine="576"/>
        <w:jc w:val="left"/>
      </w:pPr>
      <w:r>
        <w:rPr/>
        <w:t xml:space="preserve">(6) </w:t>
      </w:r>
      <w:r>
        <w:t>((</w:t>
      </w:r>
      <w:r>
        <w:rPr>
          <w:strike/>
        </w:rPr>
        <w:t xml:space="preserve">The department and the office of financial management shall annually review the caseload forecasts for the program and, beginning December 1, 2012, and annually thereafter, report to the governor and the appropriate committees of the legislature with recommendations for phasing in additional funding necessary to achieve statewide implementation in the 2018-19 school year.</w:t>
      </w:r>
    </w:p>
    <w:p>
      <w:pPr>
        <w:spacing w:before="0" w:after="0" w:line="408" w:lineRule="exact"/>
        <w:ind w:left="0" w:right="0" w:firstLine="576"/>
        <w:jc w:val="left"/>
      </w:pPr>
      <w:r>
        <w:rPr>
          <w:strike/>
        </w:rPr>
        <w:t xml:space="preserve">(7)</w:t>
      </w:r>
      <w:r>
        <w:t>))</w:t>
      </w:r>
      <w:r>
        <w:rPr/>
        <w:t xml:space="preserve">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2013 2nd sp.s. c 10 s 4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only for persons found eligible for such services under RCW 74.04.805 and is not considered an entitlement.</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(3)(a) During the 2011</w:t>
      </w:r>
      <w:r>
        <w:rPr/>
        <w:noBreakHyphen/>
      </w:r>
      <w:r>
        <w:rPr/>
        <w:t xml:space="preserve">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w:t>
      </w:r>
    </w:p>
    <w:p>
      <w:pPr>
        <w:spacing w:before="0" w:after="0" w:line="408" w:lineRule="exact"/>
        <w:ind w:left="0" w:right="0" w:firstLine="576"/>
        <w:jc w:val="left"/>
      </w:pPr>
      <w:r>
        <w:rPr/>
        <w:t xml:space="preserve">(b) Benefits provided under the essential needs and housing support program shall not be provided to recipients in the form of cash assistance.</w:t>
      </w:r>
    </w:p>
    <w:p>
      <w:pPr>
        <w:spacing w:before="0" w:after="0" w:line="408" w:lineRule="exact"/>
        <w:ind w:left="0" w:right="0" w:firstLine="576"/>
        <w:jc w:val="left"/>
      </w:pPr>
      <w:r>
        <w:rPr/>
        <w:t xml:space="preserve">(c) </w:t>
      </w:r>
      <w:r>
        <w:t>((</w:t>
      </w:r>
      <w:r>
        <w:rPr>
          <w:strike/>
        </w:rPr>
        <w:t xml:space="preserve">The appropriations by the legislature for the purposes of the essential needs and housing support program established under this section shall be based on forecasted program caseloads. The caseload forecast council shall provide a courtesy forecast of the population eligible for a referral for essential needs and housing support that is homeless or is included in reporting under subsection (7)(c)(iii) of this section.</w:t>
      </w:r>
      <w:r>
        <w:t>))</w:t>
      </w:r>
      <w:r>
        <w:rPr/>
        <w:t xml:space="preserve">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rPr/>
        <w:t xml:space="preserve">(d)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rPr/>
        <w:t xml:space="preserve">(6) The department shall use no more than five percent of the funds for administration of the essential needs and housing support program. Each essential needs and housing support entity shall use no more than seven percent of the funds for administrative expenses.</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
      <w:pPr>
        <w:jc w:val="center"/>
      </w:pPr>
      <w:r>
        <w:rPr>
          <w:b/>
        </w:rPr>
        <w:t>--- END ---</w:t>
      </w:r>
    </w:p>
    <w:sectPr>
      <w:pgNumType w:start="1"/>
      <w:footerReference xmlns:r="http://schemas.openxmlformats.org/officeDocument/2006/relationships" r:id="Rd8e600d72c4f4a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d0e70f7aef46d3" /><Relationship Type="http://schemas.openxmlformats.org/officeDocument/2006/relationships/footer" Target="/word/footer.xml" Id="Rd8e600d72c4f4a15" /></Relationships>
</file>