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a83269317140ae" /></Relationships>
</file>

<file path=word/document.xml><?xml version="1.0" encoding="utf-8"?>
<w:document xmlns:w="http://schemas.openxmlformats.org/wordprocessingml/2006/main">
  <w:body>
    <w:p>
      <w:r>
        <w:t>S-0366.3</w:t>
      </w:r>
    </w:p>
    <w:p>
      <w:pPr>
        <w:jc w:val="center"/>
      </w:pPr>
      <w:r>
        <w:t>_______________________________________________</w:t>
      </w:r>
    </w:p>
    <w:p/>
    <w:p>
      <w:pPr>
        <w:jc w:val="center"/>
      </w:pPr>
      <w:r>
        <w:rPr>
          <w:b/>
        </w:rPr>
        <w:t>SENATE BILL 5995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O'Ban, Becker, Brown, and Bailey</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transportation system policy goal of mobility; amending RCW 47.04.280;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establish objectives and performance measures for the department of transportation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66b95446b83c43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8842f149ba4e1e" /><Relationship Type="http://schemas.openxmlformats.org/officeDocument/2006/relationships/footer" Target="/word/footer.xml" Id="R66b95446b83c43f8" /></Relationships>
</file>