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7963e4601f47d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SENATE BILL 5995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Litzow, Braun, Schoesler, Parlette, Dammeier, Warnick, Sheldon, O'Ban, Becker, Brown, and Bailey</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transportation system policy goal of mobility; amending RCW 47.04.280;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2013 c 199 s 1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w:t>
      </w:r>
      <w:r>
        <w:rPr>
          <w:u w:val="single"/>
        </w:rPr>
        <w:t xml:space="preserve">, including congestion relief and improved freight mobility</w:t>
      </w:r>
      <w:r>
        <w:rPr/>
        <w:t xml:space="preserve">;</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It is the intent of the legislature that the office of financial management establish objectives and performance measures for the department of transportation and other state agencies with transportation-related responsibilities to ensure transportation system performance at local, regional, and state government levels progresses toward the attainment of the policy goals set forth in subsection (1) of this section. The office of financial management shall submit initial objectives and performance measures to the legislature for its review and shall provide copies of the same to the commission during the 2008 legislative session. The office of financial management shall submit objectives and performance measures to the legislature for its review and shall provide copies of the same to the commission during each regular session of the legislature during an even-numbered year thereafter.</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with the objectives and performance measures submitted to the legislature pursuant to subsection (4) of this section.</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39e5fc2568a48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692b556c3d455e" /><Relationship Type="http://schemas.openxmlformats.org/officeDocument/2006/relationships/footer" Target="/word/footer.xml" Id="Rd39e5fc2568a4837" /></Relationships>
</file>