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72eef82422449c" /></Relationships>
</file>

<file path=word/document.xml><?xml version="1.0" encoding="utf-8"?>
<w:document xmlns:w="http://schemas.openxmlformats.org/wordprocessingml/2006/main">
  <w:body>
    <w:p>
      <w:r>
        <w:t>S-1964.1</w:t>
      </w:r>
    </w:p>
    <w:p>
      <w:pPr>
        <w:jc w:val="center"/>
      </w:pPr>
      <w:r>
        <w:t>_______________________________________________</w:t>
      </w:r>
    </w:p>
    <w:p/>
    <w:p>
      <w:pPr>
        <w:jc w:val="center"/>
      </w:pPr>
      <w:r>
        <w:rPr>
          <w:b/>
        </w:rPr>
        <w:t>SUBSTITUTE SENATE BILL 5994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Hewitt, Becker, Brown, and Bailey)</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permits for state transportation corridor projects; amending RCW 90.58.355 and 70.95.030; adding a new section to chapter 36.70A RCW; adding a new section to chapter 47.01 RCW; adding new sections to chapter 35.21 RCW; adding new sections to chapter 36.01 RCW; adding new sections to chapter 35A.21 RCW; adding a new section to chapter 43.21C RCW;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As used in this section, "transportation corridor project" means a transportation project that is part of a state highway corridor improvement program.</w:t>
      </w:r>
    </w:p>
    <w:p>
      <w:pPr>
        <w:spacing w:before="0" w:after="0" w:line="408" w:lineRule="exact"/>
        <w:ind w:left="0" w:right="0" w:firstLine="576"/>
        <w:jc w:val="left"/>
      </w:pPr>
      <w:r>
        <w:rPr/>
        <w:t xml:space="preserve">(2) For transportation corridor projects, if the project is permitted under critical areas development regulations adopted under this chapter, permits may be appealed to a local hearing officer or through any other local appeal process if the department of transportation consents, but if the department of transportation does not consent, permits must be appealed directly to superior court and local agencies may not require that such permits be first appealed to a local hearing examiner or through any other local appeal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It is the intent of the legislature to clarify existing law such that, when exercising its authority under RCW 47.01.260, the department is not required to obtain local government master use permits, conditional use permits, special use permits, or other similar local zoning permits for staging areas related to the construction of state highways. This section may not be construed as changing or otherwise altering existing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city or town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If a building permit is issued by a county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code city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city or town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county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code city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w:t>
      </w:r>
      <w:r>
        <w:rPr>
          <w:u w:val="single"/>
        </w:rPr>
        <w:t xml:space="preserve">, letters of exemption, or other review conducted by a local government to implement this chapter</w:t>
      </w:r>
      <w:r>
        <w:rPr/>
        <w:t xml:space="preserve"> shall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(3)(a) The following department of transportation projects and activities if they meet the conditions of (b) of this subsection:</w:t>
      </w:r>
    </w:p>
    <w:p>
      <w:pPr>
        <w:spacing w:before="0" w:after="0" w:line="408" w:lineRule="exact"/>
        <w:ind w:left="0" w:right="0" w:firstLine="576"/>
        <w:jc w:val="left"/>
      </w:pPr>
      <w:r>
        <w:rPr>
          <w:u w:val="single"/>
        </w:rPr>
        <w:t xml:space="preserve">(i) Maintenance, repair, reconstruction, restoration, retrofitting, or replacement of any road, highway, bridge, tunnel, or transit facility such as a ferry dock or bus transfer station, including ancillary transportation facilities such as pedestrian/bicycle paths and bike lanes;</w:t>
      </w:r>
    </w:p>
    <w:p>
      <w:pPr>
        <w:spacing w:before="0" w:after="0" w:line="408" w:lineRule="exact"/>
        <w:ind w:left="0" w:right="0" w:firstLine="576"/>
        <w:jc w:val="left"/>
      </w:pPr>
      <w:r>
        <w:rPr>
          <w:u w:val="single"/>
        </w:rPr>
        <w:t xml:space="preserve">(ii) Construction or installation of safety structures and equipment, including pavement marking, freeway surveillance and control systems, railroad protective devices not including grade separated crossings, grooving, glare screen, safety barriers, energy attenuators, and hazard/danger tree removal.</w:t>
      </w:r>
    </w:p>
    <w:p>
      <w:pPr>
        <w:spacing w:before="0" w:after="0" w:line="408" w:lineRule="exact"/>
        <w:ind w:left="0" w:right="0" w:firstLine="576"/>
        <w:jc w:val="left"/>
      </w:pPr>
      <w:r>
        <w:rPr>
          <w:u w:val="single"/>
        </w:rPr>
        <w:t xml:space="preserve">(b) Activities exempted under this subsection (3) must occur within the right-of-way of state highway facilities or the lease or ownership area for ferry terminals. For purposes of this subsection, replacement of structures and construction or installation of safety structures and equipment do not include new travel lanes or the expansion of transportation facilities. The replacement of structures must be comparable to the original structure, including size, shape, configuration, and location, except to meet current engineering standards or environmental permit requirements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Washington state department of transportation projects that are categorically excluded under the national environmental policy act (42 U.S.C. Sec. 4321 et seq.) are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030</w:t>
      </w:r>
      <w:r>
        <w:rPr/>
        <w:t xml:space="preserve"> and 2010 1st sp.s. c 7 s 86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70.95.065,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70.95.110(2),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70.95J RCW.</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70.95J RCW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 </w:t>
      </w:r>
      <w:r>
        <w:rPr>
          <w:u w:val="single"/>
        </w:rPr>
        <w:t xml:space="preserve">"Solid waste" or "wastes" excludes construction material generated by the department of transportation that does not threaten human or environmental health.</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70.95J RCW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8a5e8d06c1f247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e10301126c45aa" /><Relationship Type="http://schemas.openxmlformats.org/officeDocument/2006/relationships/footer" Target="/word/footer.xml" Id="R8a5e8d06c1f247c8" /></Relationships>
</file>