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7c69bc88d844d2" /></Relationships>
</file>

<file path=word/document.xml><?xml version="1.0" encoding="utf-8"?>
<w:document xmlns:w="http://schemas.openxmlformats.org/wordprocessingml/2006/main">
  <w:body>
    <w:p>
      <w:r>
        <w:t>S-1354.1</w:t>
      </w:r>
    </w:p>
    <w:p>
      <w:pPr>
        <w:jc w:val="center"/>
      </w:pPr>
      <w:r>
        <w:t>_______________________________________________</w:t>
      </w:r>
    </w:p>
    <w:p/>
    <w:p>
      <w:pPr>
        <w:jc w:val="center"/>
      </w:pPr>
      <w:r>
        <w:rPr>
          <w:b/>
        </w:rPr>
        <w:t>SENATE BILL 5989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and Litzow</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bonds for transportation funding; adding new sections to chapter 47.10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provide funds necessary for the location, design, right-of-way, and construction of selected projects or improvements that are identified as connecting Washington projects or improvements in an omnibus transportation appropriations act, there shall be issued and sold upon the request of the department of transportation a total of four billion two hundred eighty-five million dollars of general obligation bonds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of the department of transportation, as appropriate, the state finance committee shall supervise and provide for the issuance, sale, and retirement of the bonds in this act in accordance with chapter 39.42 RCW. Bonds authorized by this act shall be sold in the manner, at time or times, in amounts, and at the price as the state finance committee shall determine. No bonds may be offered for sale without prior legislative appropriation of the net proceeds of the sale of the bonds.</w:t>
      </w:r>
    </w:p>
    <w:p>
      <w:pPr>
        <w:spacing w:before="0" w:after="0" w:line="408" w:lineRule="exact"/>
        <w:ind w:left="0" w:right="0" w:firstLine="576"/>
        <w:jc w:val="left"/>
      </w:pPr>
      <w:r>
        <w:rPr/>
        <w:t xml:space="preserve">The state finance committee shall consider the issuance of short- term obligations in lieu of long-term obligations for the purposes of more favorable interest rates, lower total interest costs, and increased marketability and for the purpose of retiring the bonds during the life of the project for which they were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bonds authorized by section 1 of this act shall be deposited in the connecting Washington account in the motor vehicle fund. The proceeds shall be available only for the purposes enumerated in section 1 of this act, for the payment of bond anticipation notes, if any, and for the payment of bond issuance costs, including the costs of underwriting.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sections 1 through 6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sections 1 through 6 of this act from the proceeds of the state excise taxes on motor vehicle and special fuels imposed by chapters 82.36 and 82.38 RCW and vehicle-related fees imposed under Title 46 RCW. Proceeds of these excise taxes and vehicle-related fees are hereby pledged to the payment of any bonds and the interest thereon issued under the authority of sections 1 through 6 of this act, and the legislature agrees to continue to impose these excise taxes on motor vehicle and special fuels and vehicle-related fees in amounts sufficient to pay, when due, the principal and interest on all bonds issued under the authority of sections 1 through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Both principal and interest on the bonds issued for the purposes of sections 1 through 6 of this act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connecting Washington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sections 1 through 6 of this act shall be taken from that portion of the motor vehicle fund that results from the imposition of excise taxes on motor vehicle and special fuels, and vehicle-related fees, and that is distributed to the connecting Washington account in the motor vehicle fund. Funds required shall never constitute a charge against any other allocations of motor vehicle fuel and special fuel tax, and vehicle-related fee, revenues to the state, counties, cities, and towns unless the amount arising from excise taxes on motor vehicle and special fuels and vehicle-related fees distributed to the connecting Washington account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and vehicle-related fees, that are distributable to the state, counties, cities, and towns shall be repaid from the first revenues from the motor vehicle fuel or special fuel taxes and vehicle-related fees distributed to the connecting Washington account not required for bond retirement or interest on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sections 1 through 5 of this act and this section and any other general obligation bonds of the state of Washington that have been or that may be authorized and that pledge motor vehicle and special fuels excise taxes and vehicle-related fees for the payment of principal and interest thereon shall be an equal charge against the revenues from such motor vehicle and special fuels excise taxes and vehicle-related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chapter 47.10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8a58c08168e64b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857a29896e487f" /><Relationship Type="http://schemas.openxmlformats.org/officeDocument/2006/relationships/footer" Target="/word/footer.xml" Id="R8a58c08168e64be9" /></Relationships>
</file>