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e68e8256c04205" /></Relationships>
</file>

<file path=word/document.xml><?xml version="1.0" encoding="utf-8"?>
<w:document xmlns:w="http://schemas.openxmlformats.org/wordprocessingml/2006/main">
  <w:body>
    <w:p>
      <w:r>
        <w:t>S-1611.1</w:t>
      </w:r>
    </w:p>
    <w:p>
      <w:pPr>
        <w:jc w:val="center"/>
      </w:pPr>
      <w:r>
        <w:t>_______________________________________________</w:t>
      </w:r>
    </w:p>
    <w:p/>
    <w:p>
      <w:pPr>
        <w:jc w:val="center"/>
      </w:pPr>
      <w:r>
        <w:rPr>
          <w:b/>
        </w:rPr>
        <w:t>SENATE BILL 5948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02/12/15.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wrestling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state wrestling </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t>
            </w:r>
            <w:r>
              <w:rPr>
                <w:rFonts w:ascii="Times New Roman" w:hAnsi="Times New Roman"/>
                <w:sz w:val="16"/>
                <w:u w:val="single"/>
              </w:rPr>
              <w:t xml:space="preserve">Washington state wrestling</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left"/>
            </w:pPr>
            <w:r>
              <w:rPr>
                <w:rFonts w:ascii="Times New Roman" w:hAnsi="Times New Roman"/>
                <w:sz w:val="16"/>
              </w:rPr>
              <w:t xml:space="preserve">$ 40.00</w:t>
            </w:r>
          </w:p>
        </w:tc>
        <w:tc>
          <w:tcPr>
            <w:tcW w:w="880" w:type="dxa"/>
            <w:vAlign w:val="top"/>
          </w:tcPr>
          <w:p>
            <w:pPr>
              <w:spacing w:before="0" w:after="0" w:line="408" w:lineRule="exact"/>
              <w:ind w:left="0" w:right="0" w:firstLine="0"/>
              <w:jc w:val="left"/>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state wrestling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state wrestling license plates" means special license plates issued under RCW 46.18.200 that display a symbol or artwork recognizing Washington state wrestling.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8b3d7ca5b3a848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9bcd36933d4b30" /><Relationship Type="http://schemas.openxmlformats.org/officeDocument/2006/relationships/footer" Target="/word/footer.xml" Id="R8b3d7ca5b3a84885" /></Relationships>
</file>