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eddc27e5854848" /></Relationships>
</file>

<file path=word/document.xml><?xml version="1.0" encoding="utf-8"?>
<w:document xmlns:w="http://schemas.openxmlformats.org/wordprocessingml/2006/main">
  <w:body>
    <w:p>
      <w:r>
        <w:t>S-1598.1</w:t>
      </w:r>
    </w:p>
    <w:p>
      <w:pPr>
        <w:jc w:val="center"/>
      </w:pPr>
      <w:r>
        <w:t>_______________________________________________</w:t>
      </w:r>
    </w:p>
    <w:p/>
    <w:p>
      <w:pPr>
        <w:jc w:val="center"/>
      </w:pPr>
      <w:r>
        <w:rPr>
          <w:b/>
        </w:rPr>
        <w:t>SENATE BILL 5942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McAuliffe, Rivers, Rolfes, Litzow, Mullet, Dammeier, Billig, and Fain</w:t>
      </w:r>
    </w:p>
    <w:p/>
    <w:p>
      <w:r>
        <w:rPr>
          <w:t xml:space="preserve">Read first time 02/12/15.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outcome evaluation of the national guard youth challenge program;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conduct a longitudinal outcome evaluation of the national guard youth challenge program to determine the impact of the program on students as they proceed through high school and into postsecondary education or their careers. The study shall be a retrospective study that examines students who were in the program up to ten years ago, depending on data availability, and follow the students through high school and beyond. The study shall examine K-12, postsecondary, employment, and other outcomes of at least three student cohorts five years after program completion. The evaluation shall compare outcomes of students who participated in the program with a similar group of eligible students who did not participate and include a cost-benefit analysis of program effectiveness. The office of the superintendent of public instruction and the education data center shall provide the institute with the data necessary to conduct the evaluation. The institute shall submit a final report on study findings to the governor and relevant committees of the legislature by December 15, 2016.</w:t>
      </w:r>
    </w:p>
    <w:p>
      <w:pPr>
        <w:spacing w:before="0" w:after="0" w:line="408" w:lineRule="exact"/>
        <w:ind w:left="0" w:right="0" w:firstLine="576"/>
        <w:jc w:val="left"/>
      </w:pPr>
      <w:r>
        <w:rPr/>
        <w:t xml:space="preserve">(2) This section expires August 15, 2017.</w:t>
      </w:r>
    </w:p>
    <w:p/>
    <w:p>
      <w:pPr>
        <w:jc w:val="center"/>
      </w:pPr>
      <w:r>
        <w:rPr>
          <w:b/>
        </w:rPr>
        <w:t>--- END ---</w:t>
      </w:r>
    </w:p>
    <w:sectPr>
      <w:pgNumType w:start="1"/>
      <w:footerReference xmlns:r="http://schemas.openxmlformats.org/officeDocument/2006/relationships" r:id="Rc5e23f48dd974e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4e46bf4aad43e4" /><Relationship Type="http://schemas.openxmlformats.org/officeDocument/2006/relationships/footer" Target="/word/footer.xml" Id="Rc5e23f48dd974ebb" /></Relationships>
</file>