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914e953bad44dd" /></Relationships>
</file>

<file path=word/document.xml><?xml version="1.0" encoding="utf-8"?>
<w:document xmlns:w="http://schemas.openxmlformats.org/wordprocessingml/2006/main">
  <w:body>
    <w:p>
      <w:r>
        <w:t>S-1564.1</w:t>
      </w:r>
    </w:p>
    <w:p>
      <w:pPr>
        <w:jc w:val="center"/>
      </w:pPr>
      <w:r>
        <w:t>_______________________________________________</w:t>
      </w:r>
    </w:p>
    <w:p/>
    <w:p>
      <w:pPr>
        <w:jc w:val="center"/>
      </w:pPr>
      <w:r>
        <w:rPr>
          <w:b/>
        </w:rPr>
        <w:t>SENATE BILL 5941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Rolfes, Litzow, Dammeier, and Angel</w:t>
      </w:r>
    </w:p>
    <w:p/>
    <w:p>
      <w:r>
        <w:rPr>
          <w:t xml:space="preserve">Read first time 02/12/15.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certification of adjunct faculty as common school substitute teachers; and amending RCW 28A.410.010.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w:t>
      </w:r>
    </w:p>
    <w:p>
      <w:pPr>
        <w:spacing w:before="0" w:after="0" w:line="408" w:lineRule="exact"/>
        <w:ind w:left="0" w:right="0" w:firstLine="576"/>
        <w:jc w:val="left"/>
      </w:pPr>
      <w:r>
        <w:rPr>
          <w:u w:val="single"/>
        </w:rPr>
        <w:t xml:space="preserve">(b)(i) By December 1, 2015, the board must amend or adopt rules that provide for the issuance of the certification necessary to serve as substitute teachers, other than emergency substitute certification, to adjunct faculty currently employed in institutions of higher education, as defined in RCW 28B.07.020 and 28B.10.016, who meet the following criteria:</w:t>
      </w:r>
    </w:p>
    <w:p>
      <w:pPr>
        <w:spacing w:before="0" w:after="0" w:line="408" w:lineRule="exact"/>
        <w:ind w:left="0" w:right="0" w:firstLine="576"/>
        <w:jc w:val="left"/>
      </w:pPr>
      <w:r>
        <w:rPr>
          <w:u w:val="single"/>
        </w:rPr>
        <w:t xml:space="preserve">(A) A minimum of a master's degree from a regionally accredited institution of higher education;</w:t>
      </w:r>
    </w:p>
    <w:p>
      <w:pPr>
        <w:spacing w:before="0" w:after="0" w:line="408" w:lineRule="exact"/>
        <w:ind w:left="0" w:right="0" w:firstLine="576"/>
        <w:jc w:val="left"/>
      </w:pPr>
      <w:r>
        <w:rPr>
          <w:u w:val="single"/>
        </w:rPr>
        <w:t xml:space="preserve">(B) Three or more years of demonstrated successful experience instructing students; and</w:t>
      </w:r>
    </w:p>
    <w:p>
      <w:pPr>
        <w:spacing w:before="0" w:after="0" w:line="408" w:lineRule="exact"/>
        <w:ind w:left="0" w:right="0" w:firstLine="576"/>
        <w:jc w:val="left"/>
      </w:pPr>
      <w:r>
        <w:rPr>
          <w:u w:val="single"/>
        </w:rPr>
        <w:t xml:space="preserve">(C) Meeting the age, good moral character, and personal fitness requirements adopted by rule for teachers.</w:t>
      </w:r>
    </w:p>
    <w:p>
      <w:pPr>
        <w:spacing w:before="0" w:after="0" w:line="408" w:lineRule="exact"/>
        <w:ind w:left="0" w:right="0" w:firstLine="576"/>
        <w:jc w:val="left"/>
      </w:pPr>
      <w:r>
        <w:rPr>
          <w:u w:val="single"/>
        </w:rPr>
        <w:t xml:space="preserve">(ii) Individuals who meet the criteria established in (b)(i) of this subsection are not required to have completed an approved teacher preparation program or to hold or have held a regular teaching certificate.</w:t>
      </w:r>
    </w:p>
    <w:p>
      <w:pPr>
        <w:spacing w:before="0" w:after="0" w:line="408" w:lineRule="exact"/>
        <w:ind w:left="0" w:right="0" w:firstLine="576"/>
        <w:jc w:val="left"/>
      </w:pPr>
      <w:r>
        <w:rPr>
          <w:u w:val="single"/>
        </w:rPr>
        <w:t xml:space="preserve">(c)</w:t>
      </w:r>
      <w:r>
        <w:rPr/>
        <w:t xml:space="preserve">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early learning consistent with RCW 43.215.215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
      <w:pPr>
        <w:jc w:val="center"/>
      </w:pPr>
      <w:r>
        <w:rPr>
          <w:b/>
        </w:rPr>
        <w:t>--- END ---</w:t>
      </w:r>
    </w:p>
    <w:sectPr>
      <w:pgNumType w:start="1"/>
      <w:footerReference xmlns:r="http://schemas.openxmlformats.org/officeDocument/2006/relationships" r:id="Rb925fa1992724e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43384c99b74550" /><Relationship Type="http://schemas.openxmlformats.org/officeDocument/2006/relationships/footer" Target="/word/footer.xml" Id="Rb925fa1992724eef" /></Relationships>
</file>