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517261e7944f4" /></Relationships>
</file>

<file path=word/document.xml><?xml version="1.0" encoding="utf-8"?>
<w:document xmlns:w="http://schemas.openxmlformats.org/wordprocessingml/2006/main">
  <w:body>
    <w:p>
      <w:r>
        <w:t>S-1091.3</w:t>
      </w:r>
    </w:p>
    <w:p>
      <w:pPr>
        <w:jc w:val="center"/>
      </w:pPr>
      <w:r>
        <w:t>_______________________________________________</w:t>
      </w:r>
    </w:p>
    <w:p/>
    <w:p>
      <w:pPr>
        <w:jc w:val="center"/>
      </w:pPr>
      <w:r>
        <w:rPr>
          <w:b/>
        </w:rPr>
        <w:t>SENATE BILL 5930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McAuliffe, Hasegawa, and Conway</w:t>
      </w:r>
    </w:p>
    <w:p/>
    <w:p>
      <w:r>
        <w:rPr>
          <w:t xml:space="preserve">Read first time 02/11/15.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music education in elementary schools; amending RCW 28A.150.315 and 28A.300.040;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w:t>
      </w:r>
      <w:r>
        <w:rPr>
          <w:u w:val="single"/>
        </w:rPr>
        <w:t xml:space="preserve">including music</w:t>
      </w:r>
      <w:r>
        <w:rPr/>
        <w:t xml:space="preserve">,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early learning and in collaboration with the nongovernmental private-public partnership designated in RCW 43.215.070, and report the results to the superintendent. The superintendent shall share the results with the director of the department of early learning.</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in the 2017-18 school year, districts not already offering at least one hundred minutes per week of instruction in music in all of their elementary schools shall begin to increase the number of hours of music offered in elementary schools so that, by the 2022-23 school year, every elementary student has the opportunity to receive at least one hundred minutes per week of instruction in music. Nothing in this provision may be read to require an increase in the number of total instructional hours or days already offered by a district.</w:t>
      </w:r>
    </w:p>
    <w:p>
      <w:pPr>
        <w:spacing w:before="0" w:after="0" w:line="408" w:lineRule="exact"/>
        <w:ind w:left="0" w:right="0" w:firstLine="576"/>
        <w:jc w:val="left"/>
      </w:pPr>
      <w:r>
        <w:rPr/>
        <w:t xml:space="preserve">(2) Second class districts, for which provision of at least one hundred minutes of music per week in elementary schools would be an undue hardship, may apply to have this requirement modified or waived pursuant to rules adopted by the superintendent of public instruction.</w:t>
      </w:r>
    </w:p>
    <w:p>
      <w:pPr>
        <w:spacing w:before="0" w:after="0" w:line="408" w:lineRule="exact"/>
        <w:ind w:left="0" w:right="0" w:firstLine="576"/>
        <w:jc w:val="left"/>
      </w:pPr>
      <w:r>
        <w:rPr/>
        <w:t xml:space="preserve">(3) Instruction of music is to be taught by a certified music specialist. In exceptional cases, in accordance with RCW 28A.150.203, people of unusual competence but without a teaching certificate may teach students music in the elementary school so long as a certificated person exercises general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w:t>
      </w:r>
      <w:r>
        <w:rPr>
          <w:u w:val="single"/>
        </w:rPr>
        <w:t xml:space="preserve">To promote the adoption of school-based curricula and policies that provide quality daily music education for all elementary school students, and to encourage policies that provide all elementary school students with opportunities for musical activities;</w:t>
      </w:r>
    </w:p>
    <w:p>
      <w:pPr>
        <w:spacing w:before="0" w:after="0" w:line="408" w:lineRule="exact"/>
        <w:ind w:left="0" w:right="0" w:firstLine="576"/>
        <w:jc w:val="left"/>
      </w:pPr>
      <w:r>
        <w:rPr>
          <w:u w:val="single"/>
        </w:rPr>
        <w:t xml:space="preserve">(17)</w:t>
      </w:r>
      <w:r>
        <w:rPr/>
        <w:t xml:space="preserve"> To perform such other duties as may be required by law.</w:t>
      </w:r>
    </w:p>
    <w:p/>
    <w:p>
      <w:pPr>
        <w:jc w:val="center"/>
      </w:pPr>
      <w:r>
        <w:rPr>
          <w:b/>
        </w:rPr>
        <w:t>--- END ---</w:t>
      </w:r>
    </w:p>
    <w:sectPr>
      <w:pgNumType w:start="1"/>
      <w:footerReference xmlns:r="http://schemas.openxmlformats.org/officeDocument/2006/relationships" r:id="Rc9bb6da294664a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e8e968b8514b06" /><Relationship Type="http://schemas.openxmlformats.org/officeDocument/2006/relationships/footer" Target="/word/footer.xml" Id="Rc9bb6da294664a4a" /></Relationships>
</file>