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7f1af390f495b" /></Relationships>
</file>

<file path=word/document.xml><?xml version="1.0" encoding="utf-8"?>
<w:document xmlns:w="http://schemas.openxmlformats.org/wordprocessingml/2006/main">
  <w:body>
    <w:p>
      <w:r>
        <w:t>S-0689.2</w:t>
      </w:r>
    </w:p>
    <w:p>
      <w:pPr>
        <w:jc w:val="center"/>
      </w:pPr>
      <w:r>
        <w:t>_______________________________________________</w:t>
      </w:r>
    </w:p>
    <w:p/>
    <w:p>
      <w:pPr>
        <w:jc w:val="center"/>
      </w:pPr>
      <w:r>
        <w:rPr>
          <w:b/>
        </w:rPr>
        <w:t>SENATE BILL 5922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Rivers, and Kohl-Welles</w:t>
      </w:r>
    </w:p>
    <w:p/>
    <w:p>
      <w:r>
        <w:rPr>
          <w:t xml:space="preserve">Read first time 02/11/15.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programs for highly capable students; amending RCW 28A.185.020, 28A.185.030, 28A.150.260, and 28A.150.260;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020</w:t>
      </w:r>
      <w:r>
        <w:rPr/>
        <w:t xml:space="preserve"> and 2009 c 548 s 708 are each amended to read as follows:</w:t>
      </w:r>
    </w:p>
    <w:p>
      <w:pPr>
        <w:spacing w:before="0" w:after="0" w:line="408" w:lineRule="exact"/>
        <w:ind w:left="0" w:right="0" w:firstLine="576"/>
        <w:jc w:val="left"/>
      </w:pPr>
      <w:r>
        <w:rPr/>
        <w:t xml:space="preserve">(1) The legislature finds that, for highly capable students, access to accelerated learning and enhanced instruction is access to a basic education. There are multiple definitions of highly capable, from intellectual to academic to artistic. </w:t>
      </w:r>
      <w:r>
        <w:rPr>
          <w:u w:val="single"/>
        </w:rPr>
        <w:t xml:space="preserve">Highly capable students perform, or show potential for performing, at significantly advanced levels when compared with others of their age, experience, or environments. Outstanding capabilities are seen within students' general intellectual aptitudes, specific academic abilities, creative productivities within a specific domain, and leadership skills. Highly capable students are present in all cultural and linguistic groups, across all socioeconomic strata, coexist with all manner of disabling conditions both visible and invisible, and manifest across all areas of human endeavor. No single criterion should prevent a student's identification as highly capable. However, any single criterion, if strong enough, can indicate a need for services. The basic education of highly capable students requires supports and services that often go beyond those ordinarily provided as part of general education.</w:t>
      </w:r>
    </w:p>
    <w:p>
      <w:pPr>
        <w:spacing w:before="0" w:after="0" w:line="408" w:lineRule="exact"/>
        <w:ind w:left="0" w:right="0" w:firstLine="576"/>
        <w:jc w:val="left"/>
      </w:pPr>
      <w:r>
        <w:rPr>
          <w:u w:val="single"/>
        </w:rPr>
        <w:t xml:space="preserve">(2)</w:t>
      </w:r>
      <w:r>
        <w:rPr/>
        <w:t xml:space="preserve"> The research literature strongly supports using multiple criteria to identify highly capable students, and therefore, the legislature does not intend to prescribe a single method. Instead, the legislature </w:t>
      </w:r>
      <w:r>
        <w:t>((</w:t>
      </w:r>
      <w:r>
        <w:rPr>
          <w:strike/>
        </w:rPr>
        <w:t xml:space="preserve">intends to</w:t>
      </w:r>
      <w:r>
        <w:t>))</w:t>
      </w:r>
      <w:r>
        <w:rPr/>
        <w:t xml:space="preserve"> </w:t>
      </w:r>
      <w:r>
        <w:rPr>
          <w:u w:val="single"/>
        </w:rPr>
        <w:t xml:space="preserve">shall</w:t>
      </w:r>
      <w:r>
        <w:rPr/>
        <w:t xml:space="preserve"> allocate funding based on </w:t>
      </w:r>
      <w:r>
        <w:t>((</w:t>
      </w:r>
      <w:r>
        <w:rPr>
          <w:strike/>
        </w:rPr>
        <w:t xml:space="preserve">two and three hundred fourteen one-thousandths</w:t>
      </w:r>
      <w:r>
        <w:t>))</w:t>
      </w:r>
      <w:r>
        <w:rPr/>
        <w:t xml:space="preserve"> </w:t>
      </w:r>
      <w:r>
        <w:rPr>
          <w:u w:val="single"/>
        </w:rPr>
        <w:t xml:space="preserve">ten</w:t>
      </w:r>
      <w:r>
        <w:rPr/>
        <w:t xml:space="preserve"> percent of each school district's population and authorize school districts to identify through the use of multiple, objective criteria those students most highly capable and eligible to receive accelerated learning and enhanced instruction in the program offered by the district. Access to accelerated learning and enhanced instruction through the program for highly capable students does not constitute an individual entitlement for any particular student.</w:t>
      </w:r>
    </w:p>
    <w:p>
      <w:pPr>
        <w:spacing w:before="0" w:after="0" w:line="408" w:lineRule="exact"/>
        <w:ind w:left="0" w:right="0" w:firstLine="576"/>
        <w:jc w:val="left"/>
      </w:pPr>
      <w:r>
        <w:t>((</w:t>
      </w:r>
      <w:r>
        <w:rPr>
          <w:strike/>
        </w:rPr>
        <w:t xml:space="preserve">(2) Supplementary funds</w:t>
      </w:r>
      <w:r>
        <w:t>))</w:t>
      </w:r>
      <w:r>
        <w:rPr/>
        <w:t xml:space="preserve"> </w:t>
      </w:r>
      <w:r>
        <w:rPr>
          <w:u w:val="single"/>
        </w:rPr>
        <w:t xml:space="preserve">(3) Funding</w:t>
      </w:r>
      <w:r>
        <w:rPr/>
        <w:t xml:space="preserve"> provided by the state for the program for highly capable students under RCW 28A.150.260 shall be categorical funding to provide services to highly capable students as determined by a school district under RCW 28A.185.030.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030</w:t>
      </w:r>
      <w:r>
        <w:rPr/>
        <w:t xml:space="preserve"> and 2009 c 380 s 4 are each amended to read as follows:</w:t>
      </w:r>
    </w:p>
    <w:p>
      <w:pPr>
        <w:spacing w:before="0" w:after="0" w:line="408" w:lineRule="exact"/>
        <w:ind w:left="0" w:right="0" w:firstLine="576"/>
        <w:jc w:val="left"/>
      </w:pPr>
      <w:r>
        <w:rPr/>
        <w:t xml:space="preserve">Local school districts </w:t>
      </w:r>
      <w:r>
        <w:t>((</w:t>
      </w:r>
      <w:r>
        <w:rPr>
          <w:strike/>
        </w:rPr>
        <w:t xml:space="preserve">may</w:t>
      </w:r>
      <w:r>
        <w:t>))</w:t>
      </w:r>
      <w:r>
        <w:rPr/>
        <w:t xml:space="preserve"> </w:t>
      </w:r>
      <w:r>
        <w:rPr>
          <w:u w:val="single"/>
        </w:rPr>
        <w:t xml:space="preserve">must</w:t>
      </w:r>
      <w:r>
        <w:rPr/>
        <w:t xml:space="preserve"> establish and operate, either separately or jointly, programs for highly capable students. Such authority shall include the right to employ and pay special instructors and to operate such programs jointly with a public institution of higher education. Local school districts </w:t>
      </w:r>
      <w:r>
        <w:t>((</w:t>
      </w:r>
      <w:r>
        <w:rPr>
          <w:strike/>
        </w:rPr>
        <w:t xml:space="preserve">which establish and operate programs for highly capable students</w:t>
      </w:r>
      <w:r>
        <w:t>))</w:t>
      </w:r>
      <w:r>
        <w:rPr/>
        <w:t xml:space="preserve"> shall adopt identification procedures and provide educational opportunities as follows:</w:t>
      </w:r>
    </w:p>
    <w:p>
      <w:pPr>
        <w:spacing w:before="0" w:after="0" w:line="408" w:lineRule="exact"/>
        <w:ind w:left="0" w:right="0" w:firstLine="576"/>
        <w:jc w:val="left"/>
      </w:pPr>
      <w:r>
        <w:rPr/>
        <w:t xml:space="preserve">(1) In accordance with rules adopted by the superintendent of public instruction, school districts shall implement procedures for </w:t>
      </w:r>
      <w:r>
        <w:t>((</w:t>
      </w:r>
      <w:r>
        <w:rPr>
          <w:strike/>
        </w:rPr>
        <w:t xml:space="preserve">nomination</w:t>
      </w:r>
      <w:r>
        <w:t>))</w:t>
      </w:r>
      <w:r>
        <w:rPr/>
        <w:t xml:space="preserve"> </w:t>
      </w:r>
      <w:r>
        <w:rPr>
          <w:u w:val="single"/>
        </w:rPr>
        <w:t xml:space="preserve">referral</w:t>
      </w:r>
      <w:r>
        <w:rPr/>
        <w:t xml:space="preserve">, assessment and selection of their most highly capable students. </w:t>
      </w:r>
      <w:r>
        <w:t>((</w:t>
      </w:r>
      <w:r>
        <w:rPr>
          <w:strike/>
        </w:rPr>
        <w:t xml:space="preserve">Nominations</w:t>
      </w:r>
      <w:r>
        <w:t>))</w:t>
      </w:r>
      <w:r>
        <w:rPr/>
        <w:t xml:space="preserve"> </w:t>
      </w:r>
      <w:r>
        <w:rPr>
          <w:u w:val="single"/>
        </w:rPr>
        <w:t xml:space="preserve">Referrals</w:t>
      </w:r>
      <w:r>
        <w:rPr/>
        <w:t xml:space="preserve"> shall be based upon data from teachers, other staff, parents, students, and members of the community. Assessment shall be based upon a review of each student's capability as shown by multiple criteria intended to reveal, from a wide variety of sources and data, each student's unique needs and capabilities. Selection shall be made by a broadly based committee of professionals, after consideration of the results of the multiple criteria assessment.</w:t>
      </w:r>
    </w:p>
    <w:p>
      <w:pPr>
        <w:spacing w:before="0" w:after="0" w:line="408" w:lineRule="exact"/>
        <w:ind w:left="0" w:right="0" w:firstLine="576"/>
        <w:jc w:val="left"/>
      </w:pPr>
      <w:r>
        <w:rPr/>
        <w:t xml:space="preserve">(2) When a student, who is a child of a military family in transition, has been assessed or enrolled as highly capable by a sending school, the receiving school shall initially honor placement of the student into a like program.</w:t>
      </w:r>
    </w:p>
    <w:p>
      <w:pPr>
        <w:spacing w:before="0" w:after="0" w:line="408" w:lineRule="exact"/>
        <w:ind w:left="0" w:right="0" w:firstLine="576"/>
        <w:jc w:val="left"/>
      </w:pPr>
      <w:r>
        <w:rPr/>
        <w:t xml:space="preserve">(a)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(b) The receiving school may conduct subsequent assessments to determine appropriate placement and continued enrollment in the program.</w:t>
      </w:r>
    </w:p>
    <w:p>
      <w:pPr>
        <w:spacing w:before="0" w:after="0" w:line="408" w:lineRule="exact"/>
        <w:ind w:left="0" w:right="0" w:firstLine="576"/>
        <w:jc w:val="left"/>
      </w:pPr>
      <w:r>
        <w:rPr/>
        <w:t xml:space="preserve">(3) Students selected pursuant to procedures outlined in this section shall be provided, to the extent feasible, an educational opportunity which takes into account each student's unique needs and capabilities and the limits of the resources and program options available to the district, including those options which can be developed or provided by using funds allocated by the superintendent of public instruction for that purpose.</w:t>
      </w:r>
    </w:p>
    <w:p>
      <w:pPr>
        <w:spacing w:before="0" w:after="0" w:line="408" w:lineRule="exact"/>
        <w:ind w:left="0" w:right="0" w:firstLine="576"/>
        <w:jc w:val="left"/>
      </w:pPr>
      <w:r>
        <w:rPr/>
        <w:t xml:space="preserve">(4) </w:t>
      </w:r>
      <w:r>
        <w:rPr>
          <w:u w:val="single"/>
        </w:rPr>
        <w:t xml:space="preserve">A district must make a variety of appropriate program services available to students who participate in the district's program for highly capable students. Once services are started, a continuum of services must be provided to the student in kindergarten through twelfth grade. Districts shall periodically review services for each student to ensure that the services are appropriate. The programs shall be research-based and effective in academic content areas and allow for consistent progress and challenge.</w:t>
      </w:r>
    </w:p>
    <w:p>
      <w:pPr>
        <w:spacing w:before="0" w:after="0" w:line="408" w:lineRule="exact"/>
        <w:ind w:left="0" w:right="0" w:firstLine="576"/>
        <w:jc w:val="left"/>
      </w:pPr>
      <w:r>
        <w:rPr>
          <w:u w:val="single"/>
        </w:rPr>
        <w:t xml:space="preserve">(5) Professional development for program administrators, principals, counselors, and teachers must be made available and be aligned with state standards for highly capable education. All teachers shall have adequate professional development in how to identify needs and strengths, provide challenging curriculum and instruction, and evaluate progress for highly capable students.</w:t>
      </w:r>
    </w:p>
    <w:p>
      <w:pPr>
        <w:spacing w:before="0" w:after="0" w:line="408" w:lineRule="exact"/>
        <w:ind w:left="0" w:right="0" w:firstLine="576"/>
        <w:jc w:val="left"/>
      </w:pPr>
      <w:r>
        <w:rPr>
          <w:u w:val="single"/>
        </w:rPr>
        <w:t xml:space="preserve">(6)</w:t>
      </w:r>
      <w:r>
        <w:rPr/>
        <w:t xml:space="preserve"> The definitions in Article II of RCW 28A.705.010 apply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two and three hundred fourteen one-thousandths</w:t>
      </w:r>
      <w:r>
        <w:t>))</w:t>
      </w:r>
      <w:r>
        <w:rPr/>
        <w:t xml:space="preserve"> </w:t>
      </w:r>
      <w:r>
        <w:rPr>
          <w:u w:val="single"/>
        </w:rPr>
        <w:t xml:space="preserve">ten</w:t>
      </w:r>
      <w:r>
        <w:rPr/>
        <w:t xml:space="preserve">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ten</w:t>
      </w:r>
      <w:r>
        <w:rPr/>
        <w:t xml:space="preserve">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120" w:line="408" w:lineRule="exact"/>
        <w:ind w:left="0" w:right="0" w:firstLine="576"/>
        <w:jc w:val="left"/>
      </w:pPr>
      <w:r>
        <w:rPr/>
        <w:t xml:space="preserve">(4)(a)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0" w:after="0" w:line="408" w:lineRule="exact"/>
        <w:ind w:left="0" w:right="0" w:firstLine="576"/>
        <w:jc w:val="right"/>
      </w:pPr>
      <w:r>
        <w:rPr/>
        <w:t xml:space="preserve">General education</w:t>
      </w:r>
    </w:p>
    <w:p>
      <w:pPr>
        <w:spacing w:before="0" w:after="0" w:line="408" w:lineRule="exact"/>
        <w:ind w:left="0" w:right="0" w:firstLine="576"/>
        <w:jc w:val="right"/>
      </w:pPr>
      <w:r>
        <w:rPr/>
        <w:t xml:space="preserve">average</w:t>
      </w:r>
    </w:p>
    <w:p>
      <w:pPr>
        <w:spacing w:before="0" w:after="0" w:line="408" w:lineRule="exact"/>
        <w:ind w:left="0" w:right="0" w:firstLine="576"/>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 17.0</w:t>
      </w:r>
    </w:p>
    <w:p>
      <w:pPr>
        <w:spacing w:before="0" w:after="0" w:line="408" w:lineRule="exact"/>
        <w:ind w:left="0" w:right="0" w:firstLine="0"/>
        <w:jc w:val="left"/>
        <w:tabs>
          <w:tab w:val="right" w:leader="dot" w:pos="9936"/>
        </w:tabs>
      </w:pPr>
      <w:r>
        <w:rPr/>
        <w:t xml:space="preserve">Grade 4</w:t>
      </w:r>
      <w:r>
        <w:tab/>
      </w:r>
      <w:r>
        <w:rPr/>
        <w:t xml:space="preserve"> 25.0</w:t>
      </w:r>
    </w:p>
    <w:p>
      <w:pPr>
        <w:spacing w:before="0" w:after="0" w:line="408" w:lineRule="exact"/>
        <w:ind w:left="0" w:right="0" w:firstLine="0"/>
        <w:jc w:val="left"/>
        <w:tabs>
          <w:tab w:val="right" w:leader="dot" w:pos="9936"/>
        </w:tabs>
      </w:pPr>
      <w:r>
        <w:rPr/>
        <w:t xml:space="preserve">Grades 5-6</w:t>
      </w:r>
      <w:r>
        <w:tab/>
      </w:r>
      <w:r>
        <w:rPr/>
        <w:t xml:space="preserve"> 25.0</w:t>
      </w:r>
    </w:p>
    <w:p>
      <w:pPr>
        <w:spacing w:before="0" w:after="0" w:line="408" w:lineRule="exact"/>
        <w:ind w:left="0" w:right="0" w:firstLine="0"/>
        <w:jc w:val="left"/>
        <w:tabs>
          <w:tab w:val="right" w:leader="dot" w:pos="9936"/>
        </w:tabs>
      </w:pPr>
      <w:r>
        <w:rPr/>
        <w:t xml:space="preserve">Grades 7-8</w:t>
      </w:r>
      <w:r>
        <w:tab/>
      </w:r>
      <w:r>
        <w:rPr/>
        <w:t xml:space="preserve"> 25.0</w:t>
      </w:r>
    </w:p>
    <w:p>
      <w:pPr>
        <w:spacing w:before="0" w:after="0" w:line="408" w:lineRule="exact"/>
        <w:ind w:left="0" w:right="0" w:firstLine="0"/>
        <w:jc w:val="left"/>
        <w:tabs>
          <w:tab w:val="right" w:leader="dot" w:pos="9936"/>
        </w:tabs>
      </w:pPr>
      <w:r>
        <w:rPr/>
        <w:t xml:space="preserve">Grades 9-12</w:t>
      </w:r>
      <w:r>
        <w:tab/>
      </w:r>
      <w:r>
        <w:rPr/>
        <w:t xml:space="preserve"> 25.0</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12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0" w:after="0" w:line="408" w:lineRule="exact"/>
        <w:ind w:left="0" w:right="0" w:firstLine="576"/>
        <w:jc w:val="right"/>
      </w:pPr>
      <w:r>
        <w:rPr/>
        <w:t xml:space="preserve">Career and technical</w:t>
      </w:r>
    </w:p>
    <w:p>
      <w:pPr>
        <w:spacing w:before="0" w:after="0" w:line="408" w:lineRule="exact"/>
        <w:ind w:left="0" w:right="0" w:firstLine="576"/>
        <w:jc w:val="right"/>
      </w:pPr>
      <w:r>
        <w:rPr/>
        <w:t xml:space="preserve">education average</w:t>
      </w:r>
    </w:p>
    <w:p>
      <w:pPr>
        <w:spacing w:before="0" w:after="0" w:line="408" w:lineRule="exact"/>
        <w:ind w:left="0" w:right="0" w:firstLine="576"/>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120" w:line="408" w:lineRule="exact"/>
        <w:ind w:left="0" w:right="0" w:firstLine="0"/>
        <w:jc w:val="left"/>
        <w:tabs>
          <w:tab w:val="right" w:leader="dot" w:pos="9936"/>
        </w:tabs>
      </w:pPr>
      <w:r>
        <w:rPr/>
        <w:t xml:space="preserve">instruction</w:t>
      </w:r>
      <w:r>
        <w:tab/>
      </w:r>
      <w:r>
        <w:rPr/>
        <w:t xml:space="preserve"> 16.0</w:t>
      </w:r>
    </w:p>
    <w:p>
      <w:pPr>
        <w:spacing w:before="0" w:after="0" w:line="408" w:lineRule="exact"/>
        <w:ind w:left="0" w:right="0" w:firstLine="576"/>
        <w:jc w:val="left"/>
      </w:pPr>
      <w:r>
        <w:rPr/>
        <w:t xml:space="preserve">(d) In addition, the omnibus appropriations act shall at a minimum specify a specialty average class size for laboratory science,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12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0" w:after="0" w:line="408" w:lineRule="exact"/>
        <w:ind w:left="0" w:right="0" w:firstLine="576"/>
        <w:jc w:val="right"/>
      </w:pPr>
      <w:r>
        <w:rPr/>
        <w:t xml:space="preserve">Staff per 1,000</w:t>
      </w:r>
    </w:p>
    <w:p>
      <w:pPr>
        <w:spacing w:before="0" w:after="0" w:line="408" w:lineRule="exact"/>
        <w:ind w:left="0" w:right="0" w:firstLine="576"/>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 2.8</w:t>
      </w:r>
    </w:p>
    <w:p>
      <w:pPr>
        <w:spacing w:before="0" w:after="0" w:line="408" w:lineRule="exact"/>
        <w:ind w:left="0" w:right="0" w:firstLine="0"/>
        <w:jc w:val="left"/>
        <w:tabs>
          <w:tab w:val="right" w:leader="dot" w:pos="9936"/>
        </w:tabs>
      </w:pPr>
      <w:r>
        <w:rPr/>
        <w:t xml:space="preserve">Facilities, maintenance, and grounds</w:t>
      </w:r>
      <w:r>
        <w:tab/>
      </w:r>
      <w:r>
        <w:rPr/>
        <w:t xml:space="preserve"> 4.0</w:t>
      </w:r>
    </w:p>
    <w:p>
      <w:pPr>
        <w:spacing w:before="0" w:after="0" w:line="408" w:lineRule="exact"/>
        <w:ind w:left="0" w:right="0" w:firstLine="0"/>
        <w:jc w:val="left"/>
        <w:tabs>
          <w:tab w:val="right" w:leader="dot" w:pos="9936"/>
        </w:tabs>
      </w:pPr>
      <w:r>
        <w:rPr/>
        <w:t xml:space="preserve">Warehouse, laborers, and mechanics</w:t>
      </w:r>
      <w:r>
        <w:tab/>
      </w:r>
      <w:r>
        <w:rPr/>
        <w:t xml:space="preserve"> 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12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12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Laboratory science courses for students in grades nine through twelve;</w:t>
      </w:r>
    </w:p>
    <w:p>
      <w:pPr>
        <w:spacing w:before="0" w:after="0" w:line="408" w:lineRule="exact"/>
        <w:ind w:left="0" w:right="0" w:firstLine="576"/>
        <w:jc w:val="left"/>
      </w:pPr>
      <w:r>
        <w:rPr/>
        <w:t xml:space="preserve">(c) Preparatory career and technical education courses for students in grades nine through twelve offered in a high school; and</w:t>
      </w:r>
    </w:p>
    <w:p>
      <w:pPr>
        <w:spacing w:before="0" w:after="0" w:line="408" w:lineRule="exact"/>
        <w:ind w:left="0" w:right="0" w:firstLine="576"/>
        <w:jc w:val="left"/>
      </w:pPr>
      <w:r>
        <w:rPr/>
        <w:t xml:space="preserve">(d)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two and three hundred fourteen one-thousandths</w:t>
      </w:r>
      <w:r>
        <w:t>))</w:t>
      </w:r>
      <w:r>
        <w:rPr/>
        <w:t xml:space="preserve"> </w:t>
      </w:r>
      <w:r>
        <w:rPr>
          <w:u w:val="single"/>
        </w:rPr>
        <w:t xml:space="preserve">ten</w:t>
      </w:r>
      <w:r>
        <w:rPr/>
        <w:t xml:space="preserve">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ten</w:t>
      </w:r>
      <w:r>
        <w:rPr/>
        <w:t xml:space="preserve">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September 1, 2018.</w:t>
      </w:r>
    </w:p>
    <w:p/>
    <w:p>
      <w:pPr>
        <w:jc w:val="center"/>
      </w:pPr>
      <w:r>
        <w:rPr>
          <w:b/>
        </w:rPr>
        <w:t>--- END ---</w:t>
      </w:r>
    </w:p>
    <w:sectPr>
      <w:pgNumType w:start="1"/>
      <w:footerReference xmlns:r="http://schemas.openxmlformats.org/officeDocument/2006/relationships" r:id="R357f8ff6e12749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3086a7c4744e02" /><Relationship Type="http://schemas.openxmlformats.org/officeDocument/2006/relationships/footer" Target="/word/footer.xml" Id="R357f8ff6e12749a1" /></Relationships>
</file>