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99eeb6832742af" /></Relationships>
</file>

<file path=word/document.xml><?xml version="1.0" encoding="utf-8"?>
<w:document xmlns:w="http://schemas.openxmlformats.org/wordprocessingml/2006/main">
  <w:body>
    <w:p>
      <w:r>
        <w:t>S-1443.1</w:t>
      </w:r>
    </w:p>
    <w:p>
      <w:pPr>
        <w:jc w:val="center"/>
      </w:pPr>
      <w:r>
        <w:t>_______________________________________________</w:t>
      </w:r>
    </w:p>
    <w:p/>
    <w:p>
      <w:pPr>
        <w:jc w:val="center"/>
      </w:pPr>
      <w:r>
        <w:rPr>
          <w:b/>
        </w:rPr>
        <w:t>SENATE BILL 5921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Hatfield, Chase, and Brown</w:t>
      </w:r>
    </w:p>
    <w:p/>
    <w:p>
      <w:r>
        <w:rPr>
          <w:t xml:space="preserve">Read first time 02/11/15.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common law interpretation and application of the vested rights doctrine; and amending RCW 19.27.095, 36.70B.180, and 58.17.033.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180</w:t>
      </w:r>
      <w:r>
        <w:rPr/>
        <w:t xml:space="preserve"> and 1995 c 347 s 503 are each amended to read as follows:</w:t>
      </w:r>
    </w:p>
    <w:p>
      <w:pPr>
        <w:spacing w:before="0" w:after="0" w:line="408" w:lineRule="exact"/>
        <w:ind w:left="0" w:right="0" w:firstLine="576"/>
        <w:jc w:val="left"/>
      </w:pPr>
      <w:r>
        <w:rPr/>
        <w:t xml:space="preserve">Unless amended or terminated, a development agreement is enforceable during its term by a party to the agreement. A development agreement and the development standards in the agreement govern during the term of the agreement, or for all or that part of the build-out period specified in the agreement, and may not be subject to an amendment to a zoning ordinance or development standard or regulation or a new zoning ordinance or development standard or regulation adopted after the effective date of the agreement. A permit or approval issued by the county or city after the execution of the development agreement must be consistent with the development agreement. </w:t>
      </w:r>
      <w:r>
        <w:rPr>
          <w:u w:val="single"/>
        </w:rPr>
        <w:t xml:space="preserve">In accordance with RCW 4.04.010, nothing in this section nor any other statutory codification of the vested rights doctrine limits the common law interpretation and application of such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033</w:t>
      </w:r>
      <w:r>
        <w:rPr/>
        <w:t xml:space="preserve"> and 1987 c 104 s 2 are each amended to read as follows:</w:t>
      </w:r>
    </w:p>
    <w:p>
      <w:pPr>
        <w:spacing w:before="0" w:after="0" w:line="408" w:lineRule="exact"/>
        <w:ind w:left="0" w:right="0" w:firstLine="576"/>
        <w:jc w:val="left"/>
      </w:pPr>
      <w:r>
        <w:rPr/>
        <w:t xml:space="preserve">(1) A proposed division of land, as defined in RCW 58.17.020, shall be considered under the subdivision or short subdivision ordinance, and zoning or other land use control ordinances, in effect on the land at the time a fully completed application for preliminary plat approval of the subdivision, or short plat approval of the short subdivision, has been submitted to the appropriate county, city, or town official. </w:t>
      </w:r>
      <w:r>
        <w:rPr>
          <w:u w:val="single"/>
        </w:rPr>
        <w:t xml:space="preserve">In accordance with RCW 4.04.010, neither this subsection (1) nor any other statutory codification of the vested rights doctrine limits the common law interpretation and application of such doctrine.</w:t>
      </w:r>
    </w:p>
    <w:p>
      <w:pPr>
        <w:spacing w:before="0" w:after="0" w:line="408" w:lineRule="exact"/>
        <w:ind w:left="0" w:right="0" w:firstLine="576"/>
        <w:jc w:val="left"/>
      </w:pPr>
      <w:r>
        <w:rPr/>
        <w:t xml:space="preserve">(2) The requirements for a fully completed application shall be defined by local ordinance.</w:t>
      </w:r>
    </w:p>
    <w:p>
      <w:pPr>
        <w:spacing w:before="0" w:after="0" w:line="408" w:lineRule="exact"/>
        <w:ind w:left="0" w:right="0" w:firstLine="576"/>
        <w:jc w:val="left"/>
      </w:pPr>
      <w:r>
        <w:rPr/>
        <w:t xml:space="preserve">(3)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0afab4662db64d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617cbe1a345be" /><Relationship Type="http://schemas.openxmlformats.org/officeDocument/2006/relationships/footer" Target="/word/footer.xml" Id="R0afab4662db64d96" /></Relationships>
</file>