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31974065714da4" /></Relationships>
</file>

<file path=word/document.xml><?xml version="1.0" encoding="utf-8"?>
<w:document xmlns:w="http://schemas.openxmlformats.org/wordprocessingml/2006/main">
  <w:body>
    <w:p>
      <w:r>
        <w:t>S-0475.5</w:t>
      </w:r>
    </w:p>
    <w:p>
      <w:pPr>
        <w:jc w:val="center"/>
      </w:pPr>
      <w:r>
        <w:t>_______________________________________________</w:t>
      </w:r>
    </w:p>
    <w:p/>
    <w:p>
      <w:pPr>
        <w:jc w:val="center"/>
      </w:pPr>
      <w:r>
        <w:rPr>
          <w:b/>
        </w:rPr>
        <w:t>SENATE BILL 5916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Chase, Angel, Kohl-Welles, Hatfield, Benton, and McAuliffe</w:t>
      </w:r>
    </w:p>
    <w:p/>
    <w:p>
      <w:r>
        <w:rPr>
          <w:t xml:space="preserve">Read first time 02/10/15.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chapter to Title 43 RCW; adding a new chapter to Title 82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PURPOSE.</w:t>
      </w:r>
      <w:r>
        <w:t xml:space="preserve">  </w:t>
      </w:r>
      <w:r>
        <w:rPr/>
        <w:t xml:space="preserve">(1) The legislature finds that the tourism industry is the fourth largest economic sector in the state of Washington. Since 2011 there have been no general funds committed to statewide tourism marketing and Washington is the only state without a state tourism office. Before 2011, the amount of funds appropriated to statewide tourism marketing were not significant and in fact, Washington ranked forty-eighth in state tourism funding. Washington has significant attractions and activities for tourists, and there should be a program to publicize these assets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gross revenue" means the total gross income of the business as defined in RCW 82.04.080 less any validly claimed deductions or exempt amounts under chapter 82.04 RCW.</w:t>
      </w:r>
    </w:p>
    <w:p>
      <w:pPr>
        <w:spacing w:before="0" w:after="0" w:line="408" w:lineRule="exact"/>
        <w:ind w:left="0" w:right="0" w:firstLine="576"/>
        <w:jc w:val="left"/>
      </w:pPr>
      <w:r>
        <w:rPr/>
        <w:t xml:space="preserve">(2) "Assessed sectors" means businesses in any of the following industry sectors:</w:t>
      </w:r>
    </w:p>
    <w:p>
      <w:pPr>
        <w:spacing w:before="0" w:after="0" w:line="408" w:lineRule="exact"/>
        <w:ind w:left="0" w:right="0" w:firstLine="576"/>
        <w:jc w:val="left"/>
      </w:pPr>
      <w:r>
        <w:rPr/>
        <w:t xml:space="preserve">(a) Lodging; and</w:t>
      </w:r>
    </w:p>
    <w:p>
      <w:pPr>
        <w:spacing w:before="0" w:after="0" w:line="408" w:lineRule="exact"/>
        <w:ind w:left="0" w:right="0" w:firstLine="576"/>
        <w:jc w:val="left"/>
      </w:pPr>
      <w:r>
        <w:rPr/>
        <w:t xml:space="preserve">(b) The following sectors based on NAICS codes: Food service, attractions and entertainment, retail, and transportation.</w:t>
      </w:r>
    </w:p>
    <w:p>
      <w:pPr>
        <w:spacing w:before="0" w:after="0" w:line="408" w:lineRule="exact"/>
        <w:ind w:left="0" w:right="0" w:firstLine="576"/>
        <w:jc w:val="left"/>
      </w:pPr>
      <w:r>
        <w:rPr/>
        <w:t xml:space="preserve">(3) "Attractions and entertainment" means businesses whose primary business activity is within any of the following NAICS codes or their successor codes: 561510, 561520, 7111, 711211, 711212, 711219, 7113, 711410, 711510, 712110, 712120, 712130, 712190, 713110, 713120, 713290, 713910 (publicly owned only), 713930, and 713990.</w:t>
      </w:r>
    </w:p>
    <w:p>
      <w:pPr>
        <w:spacing w:before="0" w:after="0" w:line="408" w:lineRule="exact"/>
        <w:ind w:left="0" w:right="0" w:firstLine="576"/>
        <w:jc w:val="left"/>
      </w:pPr>
      <w:r>
        <w:rPr/>
        <w:t xml:space="preserve">(4) "Authority" means the Washington tourism marketing authority created in section 3 of this act.</w:t>
      </w:r>
    </w:p>
    <w:p>
      <w:pPr>
        <w:spacing w:before="0" w:after="0" w:line="408" w:lineRule="exact"/>
        <w:ind w:left="0" w:right="0" w:firstLine="576"/>
        <w:jc w:val="left"/>
      </w:pPr>
      <w:r>
        <w:rPr/>
        <w:t xml:space="preserve">(5) "Common control" means any group of companies owned by the same five or fewer people, owning at least eighty percent of the companies. For the purpose of determining annual adjusted gross revenues, companies under common control may choose to be treated as a single company. This definition is derived from the United States employee retirement income security act of 1974 and is consistent and coextensive with regulations prescribed by the United States secretary of the treasury. </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"Director" means the director of the department of revenue.</w:t>
      </w:r>
    </w:p>
    <w:p>
      <w:pPr>
        <w:spacing w:before="0" w:after="0" w:line="408" w:lineRule="exact"/>
        <w:ind w:left="0" w:right="0" w:firstLine="576"/>
        <w:jc w:val="left"/>
      </w:pPr>
      <w:r>
        <w:rPr/>
        <w:t xml:space="preserve">(8) "Food service" means businesses whose primary business activity is within any of the following NAICS codes or their successor codes: 722110, 722212, 722213, and 722410.</w:t>
      </w:r>
    </w:p>
    <w:p>
      <w:pPr>
        <w:spacing w:before="0" w:after="0" w:line="408" w:lineRule="exact"/>
        <w:ind w:left="0" w:right="0" w:firstLine="576"/>
        <w:jc w:val="left"/>
      </w:pPr>
      <w:r>
        <w:rPr/>
        <w:t xml:space="preserve">(9) "Lodging" means the furnishing of lodging taxable by the state under chapter 82.08 RCW at a facility that contains twenty or more lodging units.</w:t>
      </w:r>
    </w:p>
    <w:p>
      <w:pPr>
        <w:spacing w:before="0" w:after="0" w:line="408" w:lineRule="exact"/>
        <w:ind w:left="0" w:right="0" w:firstLine="576"/>
        <w:jc w:val="left"/>
      </w:pPr>
      <w:r>
        <w:rPr/>
        <w:t xml:space="preserve">(10) "NAICS codes" means the North American Industrial Classification System codes used by federal statistical agencies and the state in classifying business establishments for the purpose of collecting, analyzing, and publishing statistical data related to the business economy.</w:t>
      </w:r>
    </w:p>
    <w:p>
      <w:pPr>
        <w:spacing w:before="0" w:after="0" w:line="408" w:lineRule="exact"/>
        <w:ind w:left="0" w:right="0" w:firstLine="576"/>
        <w:jc w:val="left"/>
      </w:pPr>
      <w:r>
        <w:rPr/>
        <w:t xml:space="preserve">(11) "Retail" means businesses whose primary business activity is within any of the following NAICS codes or their successor codes: 445310, 4481, 448210, 448310, 448320, 451110, 451120, 451211, 452111, 452112, 452910, 452990, 453110, and 453220.</w:t>
      </w:r>
    </w:p>
    <w:p>
      <w:pPr>
        <w:spacing w:before="0" w:after="0" w:line="408" w:lineRule="exact"/>
        <w:ind w:left="0" w:right="0" w:firstLine="576"/>
        <w:jc w:val="left"/>
      </w:pPr>
      <w:r>
        <w:rPr/>
        <w:t xml:space="preserve">(12) "Secretary" means the secretary of state.</w:t>
      </w:r>
    </w:p>
    <w:p>
      <w:pPr>
        <w:spacing w:before="0" w:after="0" w:line="408" w:lineRule="exact"/>
        <w:ind w:left="0" w:right="0" w:firstLine="576"/>
        <w:jc w:val="left"/>
      </w:pPr>
      <w:r>
        <w:rPr/>
        <w:t xml:space="preserve">(13) "Statewide tourism marketing account" means the account created pursuant to section 5 of this act in the custody of the state treasurer. This account shall be the depository for fees collected pursuant to section 6 of this act and charges collected pursuant to section 10 of this act.</w:t>
      </w:r>
    </w:p>
    <w:p>
      <w:pPr>
        <w:spacing w:before="0" w:after="0" w:line="408" w:lineRule="exact"/>
        <w:ind w:left="0" w:right="0" w:firstLine="576"/>
        <w:jc w:val="left"/>
      </w:pPr>
      <w:r>
        <w:rPr/>
        <w:t xml:space="preserve">(14) "Transportation" means businesses whose primary business activity is within any of the following NAICS codes or their successor codes: 483212, 485310, 485320, 485510, 48599, 487, 532111, and 812930.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w:t>
      </w:r>
      <w:r>
        <w:rPr>
          <w:rFonts w:ascii="Times New Roman" w:hAnsi="Times New Roman"/>
        </w:rPr>
        <w:t xml:space="preserve">—</w:t>
      </w:r>
      <w:r>
        <w:rPr/>
        <w:t xml:space="preserve">ESTABLISHED.</w:t>
      </w:r>
      <w:r>
        <w:t xml:space="preserve">  </w:t>
      </w:r>
      <w:r>
        <w:rPr/>
        <w:t xml:space="preserve">(1) The Washington tourism marketing authority is established as a public body corporate and politic, constituting an instrumentality of the state of Washington.</w:t>
      </w:r>
    </w:p>
    <w:p>
      <w:pPr>
        <w:spacing w:before="0" w:after="0" w:line="408" w:lineRule="exact"/>
        <w:ind w:left="0" w:right="0" w:firstLine="576"/>
        <w:jc w:val="left"/>
      </w:pPr>
      <w:r>
        <w:rPr/>
        <w:t xml:space="preserve">(2) The authority is responsible for acting as a business management organization on behalf of the citizens of the state to manage financial resources and contract for statewide tourism marketing services.</w:t>
      </w:r>
    </w:p>
    <w:p>
      <w:pPr>
        <w:spacing w:before="0" w:after="0" w:line="408" w:lineRule="exact"/>
        <w:ind w:left="0" w:right="0" w:firstLine="576"/>
        <w:jc w:val="left"/>
      </w:pPr>
      <w:r>
        <w:rPr/>
        <w:t xml:space="preserve">(3) The authority must establish procedures to:</w:t>
      </w:r>
    </w:p>
    <w:p>
      <w:pPr>
        <w:spacing w:before="0" w:after="0" w:line="408" w:lineRule="exact"/>
        <w:ind w:left="0" w:right="0" w:firstLine="576"/>
        <w:jc w:val="left"/>
      </w:pPr>
      <w:r>
        <w:rPr/>
        <w:t xml:space="preserve">(a) Notify businesses within the assessed sectors included in section 2(2)(b) of this act of the fee imposed in section 6 of this act; and</w:t>
      </w:r>
    </w:p>
    <w:p>
      <w:pPr>
        <w:spacing w:before="0" w:after="0" w:line="408" w:lineRule="exact"/>
        <w:ind w:left="0" w:right="0" w:firstLine="576"/>
        <w:jc w:val="left"/>
      </w:pPr>
      <w:r>
        <w:rPr/>
        <w:t xml:space="preserve">(b) Maintain a database of businesses subject to the fee under section 6 of this act that can be accessed by the secretary.</w:t>
      </w:r>
    </w:p>
    <w:p>
      <w:pPr>
        <w:spacing w:before="0" w:after="0" w:line="408" w:lineRule="exact"/>
        <w:ind w:left="0" w:right="0" w:firstLine="576"/>
        <w:jc w:val="left"/>
      </w:pPr>
      <w:r>
        <w:rPr/>
        <w:t xml:space="preserve">(4) Membership in the authority includes all businesses subject to section 6 of this act or the charge imposed in section 10 of this act.</w:t>
      </w:r>
    </w:p>
    <w:p>
      <w:pPr>
        <w:spacing w:before="0" w:after="0" w:line="408" w:lineRule="exact"/>
        <w:ind w:left="0" w:right="0" w:firstLine="576"/>
        <w:jc w:val="left"/>
      </w:pPr>
      <w:r>
        <w:rPr/>
        <w:t xml:space="preserve">(5) The office of the secretary of state must provide administrative assistance to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w:t>
      </w:r>
      <w:r>
        <w:t xml:space="preserve">  </w:t>
      </w:r>
      <w:r>
        <w:rPr/>
        <w:t xml:space="preserve">(1)(a) The authority shall be governed by a board of directors. The board of directors shall be composed of thirteen members.</w:t>
      </w:r>
    </w:p>
    <w:p>
      <w:pPr>
        <w:spacing w:before="0" w:after="0" w:line="408" w:lineRule="exact"/>
        <w:ind w:left="0" w:right="0" w:firstLine="576"/>
        <w:jc w:val="left"/>
      </w:pPr>
      <w:r>
        <w:rPr/>
        <w:t xml:space="preserve">(b) Membership shall be allocated to the assessed sectors as follows:</w:t>
      </w:r>
    </w:p>
    <w:p>
      <w:pPr>
        <w:spacing w:before="0" w:after="0" w:line="408" w:lineRule="exact"/>
        <w:ind w:left="0" w:right="0" w:firstLine="576"/>
        <w:jc w:val="left"/>
      </w:pPr>
      <w:r>
        <w:rPr/>
        <w:t xml:space="preserve">(i) Lodging, four members;</w:t>
      </w:r>
    </w:p>
    <w:p>
      <w:pPr>
        <w:spacing w:before="0" w:after="0" w:line="408" w:lineRule="exact"/>
        <w:ind w:left="0" w:right="0" w:firstLine="576"/>
        <w:jc w:val="left"/>
      </w:pPr>
      <w:r>
        <w:rPr/>
        <w:t xml:space="preserve">(ii) Food service, three members;</w:t>
      </w:r>
    </w:p>
    <w:p>
      <w:pPr>
        <w:spacing w:before="0" w:after="0" w:line="408" w:lineRule="exact"/>
        <w:ind w:left="0" w:right="0" w:firstLine="576"/>
        <w:jc w:val="left"/>
      </w:pPr>
      <w:r>
        <w:rPr/>
        <w:t xml:space="preserve">(iii) Retail, two members;</w:t>
      </w:r>
    </w:p>
    <w:p>
      <w:pPr>
        <w:spacing w:before="0" w:after="0" w:line="408" w:lineRule="exact"/>
        <w:ind w:left="0" w:right="0" w:firstLine="576"/>
        <w:jc w:val="left"/>
      </w:pPr>
      <w:r>
        <w:rPr/>
        <w:t xml:space="preserve">(iv) Attractions and entertainment, one member; and</w:t>
      </w:r>
    </w:p>
    <w:p>
      <w:pPr>
        <w:spacing w:before="0" w:after="0" w:line="408" w:lineRule="exact"/>
        <w:ind w:left="0" w:right="0" w:firstLine="576"/>
        <w:jc w:val="left"/>
      </w:pPr>
      <w:r>
        <w:rPr/>
        <w:t xml:space="preserve">(v) Transportation, one member.</w:t>
      </w:r>
    </w:p>
    <w:p>
      <w:pPr>
        <w:spacing w:before="0" w:after="0" w:line="408" w:lineRule="exact"/>
        <w:ind w:left="0" w:right="0" w:firstLine="576"/>
        <w:jc w:val="left"/>
      </w:pPr>
      <w:r>
        <w:rPr/>
        <w:t xml:space="preserve">(c) In addition, there shall be two members representing regional destination marketing organizations.</w:t>
      </w:r>
    </w:p>
    <w:p>
      <w:pPr>
        <w:spacing w:before="0" w:after="0" w:line="408" w:lineRule="exact"/>
        <w:ind w:left="0" w:right="0" w:firstLine="576"/>
        <w:jc w:val="left"/>
      </w:pPr>
      <w:r>
        <w:rPr/>
        <w:t xml:space="preserve">(d) The secretary and the director shall serve as ex officio voting members of the authority.</w:t>
      </w:r>
    </w:p>
    <w:p>
      <w:pPr>
        <w:spacing w:before="0" w:after="0" w:line="408" w:lineRule="exact"/>
        <w:ind w:left="0" w:right="0" w:firstLine="576"/>
        <w:jc w:val="left"/>
      </w:pPr>
      <w:r>
        <w:rPr/>
        <w:t xml:space="preserve">(2) The secretary and the director must jointly make appointments to the board from nominations submitted by organizations representing assessed sectors and members of the authority. Appointments shall reflect diversity in geography, size of businesses, gender, and ethnicity.</w:t>
      </w:r>
    </w:p>
    <w:p>
      <w:pPr>
        <w:spacing w:before="0" w:after="0" w:line="408" w:lineRule="exact"/>
        <w:ind w:left="0" w:right="0" w:firstLine="576"/>
        <w:jc w:val="left"/>
      </w:pPr>
      <w:r>
        <w:rPr/>
        <w:t xml:space="preserve">(3)(a) Half of the initial appointments under subsection (1)(b)(i), (ii), and (iii) of this section shall be for two years. The initial appointment under subsection (1)(b)(iv) of this section shall be for four years. The initial appointment under subsection (1)(b)(v) of this section shall be for two years.</w:t>
      </w:r>
    </w:p>
    <w:p>
      <w:pPr>
        <w:spacing w:before="0" w:after="0" w:line="408" w:lineRule="exact"/>
        <w:ind w:left="0" w:right="0" w:firstLine="576"/>
        <w:jc w:val="left"/>
      </w:pPr>
      <w:r>
        <w:rPr/>
        <w:t xml:space="preserve">(b) After the initial appointments, all appointments shall be for four years.</w:t>
      </w:r>
    </w:p>
    <w:p>
      <w:pPr>
        <w:spacing w:before="0" w:after="0" w:line="408" w:lineRule="exact"/>
        <w:ind w:left="0" w:right="0" w:firstLine="576"/>
        <w:jc w:val="left"/>
      </w:pPr>
      <w:r>
        <w:rPr/>
        <w:t xml:space="preserve">(4) The board shall select from its membership the chair of the board and such other officers as it deems appropriate.</w:t>
      </w:r>
    </w:p>
    <w:p>
      <w:pPr>
        <w:spacing w:before="0" w:after="0" w:line="408" w:lineRule="exact"/>
        <w:ind w:left="0" w:right="0" w:firstLine="576"/>
        <w:jc w:val="left"/>
      </w:pPr>
      <w:r>
        <w:rPr/>
        <w:t xml:space="preserve">(5) A majority of the board constitutes a quorum.</w:t>
      </w:r>
    </w:p>
    <w:p>
      <w:pPr>
        <w:spacing w:before="0" w:after="0" w:line="408" w:lineRule="exact"/>
        <w:ind w:left="0" w:right="0" w:firstLine="576"/>
        <w:jc w:val="left"/>
      </w:pPr>
      <w:r>
        <w:rPr/>
        <w:t xml:space="preserve">(6) The board shall create its own bylaws in accordance with the laws of the state of Washington.</w:t>
      </w:r>
    </w:p>
    <w:p>
      <w:pPr>
        <w:spacing w:before="0" w:after="0" w:line="408" w:lineRule="exact"/>
        <w:ind w:left="0" w:right="0" w:firstLine="576"/>
        <w:jc w:val="left"/>
      </w:pPr>
      <w:r>
        <w:rPr/>
        <w:t xml:space="preserve">(7)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(8) If a vacancy occurs on the board, the secretary and the director shall appoint a replacement from the same sector and from recommendations provided by businesses in that sector. The appointed member shall serve the remainder of the term.</w:t>
      </w:r>
    </w:p>
    <w:p>
      <w:pPr>
        <w:spacing w:before="0" w:after="0" w:line="408" w:lineRule="exact"/>
        <w:ind w:left="0" w:right="0" w:firstLine="576"/>
        <w:jc w:val="left"/>
      </w:pPr>
      <w:r>
        <w:rPr/>
        <w:t xml:space="preserve">(9) The members of the board serve without compensation but are entitled to reimbursement, solely from the funds of the authority, for expenses incurred in the discharge of their duties.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custody of the state treasurer. All receipts from fees under section 6 of this act and the charge on lodging businesses imposed in section 10 of this act shall be deposited into the account. Expenditures from the account may be used only for expenses related to implementation of a statewide tourism marketing program, including continuing administrative expenses of the department of revenue and the secretary associated with administration of section 6 of this act and chapter 82.-- RCW (the new chapter created in section 16 of this act). Only the chair of the authority or the chair's designee may authorize expenditures from the account. The account is not subject to appropriation or allotment procedures for expenditures.</w:t>
      </w:r>
    </w:p>
    <w:p>
      <w:pPr>
        <w:spacing w:before="0" w:after="0" w:line="408" w:lineRule="exact"/>
        <w:ind w:left="0" w:right="0" w:firstLine="576"/>
        <w:jc w:val="left"/>
      </w:pPr>
      <w:r>
        <w:rPr/>
        <w:t xml:space="preserve">(2) Expenses of the department of revenue and the secretary to administer section 6 of this act and chapter 82.-- RCW (the new chapter created in section 16 of this act) must be reimbursed from the statewide tourism marketing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AND COLLECTION OF FEES.</w:t>
      </w:r>
      <w:r>
        <w:t xml:space="preserve">  </w:t>
      </w:r>
      <w:r>
        <w:rPr/>
        <w:t xml:space="preserve">(1) Fees shall be imposed on all businesses in those assessed sectors included in section 2(2)(b) of this act and that are required to annually renew a license or registration with the secretary.</w:t>
      </w:r>
    </w:p>
    <w:p>
      <w:pPr>
        <w:spacing w:before="0" w:after="0" w:line="408" w:lineRule="exact"/>
        <w:ind w:left="0" w:right="0" w:firstLine="576"/>
        <w:jc w:val="left"/>
      </w:pPr>
      <w:r>
        <w:rPr/>
        <w:t xml:space="preserve">(2) All revenue from fees imposed under this section shall be deposited in the statewide tourism marketing account.</w:t>
      </w:r>
    </w:p>
    <w:p>
      <w:pPr>
        <w:spacing w:before="0" w:after="0" w:line="408" w:lineRule="exact"/>
        <w:ind w:left="0" w:right="0" w:firstLine="576"/>
        <w:jc w:val="left"/>
      </w:pPr>
      <w:r>
        <w:rPr/>
        <w:t xml:space="preserve">(3) Food service fees shall be assessed using the definition of common control.</w:t>
      </w:r>
    </w:p>
    <w:p>
      <w:pPr>
        <w:spacing w:before="0" w:after="0" w:line="408" w:lineRule="exact"/>
        <w:ind w:left="0" w:right="0" w:firstLine="576"/>
        <w:jc w:val="left"/>
      </w:pPr>
      <w:r>
        <w:rPr/>
        <w:t xml:space="preserve">(4) Beginning on the effective date of this section, the fees imposed in subsection (1) of this section shall be collected annually from each business subject to the fee. The fee is due on the due date of the business's annual license or registration renewal with the secretary. The amount of the fee is based on the business's annual adjusted gross revenue from the previous calendar year. If a business did not operate during the entire previous calendar year and the business is the result of a mere change in identity or form of ownership of a business that did operate during the previous calendar year, the fee under this section is based on the combined annual adjusted gross revenues of both businesses from the previous calendar year. The rate of the fee imposed in this section is as provided in this subsection (4).</w:t>
      </w:r>
    </w:p>
    <w:p>
      <w:pPr>
        <w:spacing w:before="0" w:after="0" w:line="408" w:lineRule="exact"/>
        <w:ind w:left="0" w:right="0" w:firstLine="576"/>
        <w:jc w:val="left"/>
      </w:pPr>
      <w:r>
        <w:rPr/>
        <w:t xml:space="preserve">(a) Food service.</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Less than $500,000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175</w:t>
            </w:r>
          </w:p>
        </w:tc>
      </w:tr>
      <w:tr>
        <w:tc>
          <w:tcPr>
            <w:tcW w:w="2430" w:type="dxa"/>
            <w:vAlign w:val="top"/>
          </w:tcPr>
          <w:p>
            <w:pPr>
              <w:spacing w:before="0" w:after="0" w:line="408" w:lineRule="exact"/>
              <w:ind w:left="0" w:right="0" w:firstLine="0"/>
              <w:jc w:val="left"/>
            </w:pPr>
            <w:r>
              <w:rPr>
                <w:rFonts w:ascii="Times New Roman" w:hAnsi="Times New Roman"/>
                <w:sz w:val="20"/>
              </w:rPr>
              <w:t xml:space="preserve">$1,000,000 – $1,499,999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$1,500,000 – $1,999,999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525</w:t>
            </w:r>
          </w:p>
        </w:tc>
      </w:tr>
      <w:tr>
        <w:tc>
          <w:tcPr>
            <w:tcW w:w="2430" w:type="dxa"/>
            <w:vAlign w:val="top"/>
          </w:tcPr>
          <w:p>
            <w:pPr>
              <w:spacing w:before="0" w:after="0" w:line="408" w:lineRule="exact"/>
              <w:ind w:left="0" w:right="0" w:firstLine="0"/>
              <w:jc w:val="left"/>
            </w:pPr>
            <w:r>
              <w:rPr>
                <w:rFonts w:ascii="Times New Roman" w:hAnsi="Times New Roman"/>
                <w:sz w:val="20"/>
              </w:rPr>
              <w:t xml:space="preserve">$2,000,000 – $2,499,999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700</w:t>
            </w:r>
          </w:p>
        </w:tc>
      </w:tr>
      <w:tr>
        <w:tc>
          <w:tcPr>
            <w:tcW w:w="2430" w:type="dxa"/>
            <w:vAlign w:val="top"/>
          </w:tcPr>
          <w:p>
            <w:pPr>
              <w:spacing w:before="0" w:after="0" w:line="408" w:lineRule="exact"/>
              <w:ind w:left="0" w:right="0" w:firstLine="0"/>
              <w:jc w:val="left"/>
            </w:pPr>
            <w:r>
              <w:rPr>
                <w:rFonts w:ascii="Times New Roman" w:hAnsi="Times New Roman"/>
                <w:sz w:val="20"/>
              </w:rPr>
              <w:t xml:space="preserve">$2,500,000 – $2,999,999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875</w:t>
            </w:r>
          </w:p>
        </w:tc>
      </w:tr>
      <w:tr>
        <w:tc>
          <w:tcPr>
            <w:tcW w:w="2430" w:type="dxa"/>
            <w:vAlign w:val="top"/>
          </w:tcPr>
          <w:p>
            <w:pPr>
              <w:spacing w:before="0" w:after="0" w:line="408" w:lineRule="exact"/>
              <w:ind w:left="0" w:right="0" w:firstLine="0"/>
              <w:jc w:val="left"/>
            </w:pPr>
            <w:r>
              <w:rPr>
                <w:rFonts w:ascii="Times New Roman" w:hAnsi="Times New Roman"/>
                <w:sz w:val="20"/>
              </w:rPr>
              <w:t xml:space="preserve">$3,000,000 – $3,499,999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1,050</w:t>
            </w:r>
          </w:p>
        </w:tc>
      </w:tr>
      <w:tr>
        <w:tc>
          <w:tcPr>
            <w:tcW w:w="2430" w:type="dxa"/>
            <w:vAlign w:val="top"/>
          </w:tcPr>
          <w:p>
            <w:pPr>
              <w:spacing w:before="0" w:after="0" w:line="408" w:lineRule="exact"/>
              <w:ind w:left="0" w:right="0" w:firstLine="0"/>
              <w:jc w:val="left"/>
            </w:pPr>
            <w:r>
              <w:rPr>
                <w:rFonts w:ascii="Times New Roman" w:hAnsi="Times New Roman"/>
                <w:sz w:val="20"/>
              </w:rPr>
              <w:t xml:space="preserve">$3,500,000 – $3,999,999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1,225</w:t>
            </w:r>
          </w:p>
        </w:tc>
      </w:tr>
      <w:tr>
        <w:tc>
          <w:tcPr>
            <w:tcW w:w="2430" w:type="dxa"/>
            <w:vAlign w:val="top"/>
          </w:tcPr>
          <w:p>
            <w:pPr>
              <w:spacing w:before="0" w:after="0" w:line="408" w:lineRule="exact"/>
              <w:ind w:left="0" w:right="0" w:firstLine="0"/>
              <w:jc w:val="left"/>
            </w:pPr>
            <w:r>
              <w:rPr>
                <w:rFonts w:ascii="Times New Roman" w:hAnsi="Times New Roman"/>
                <w:sz w:val="20"/>
              </w:rPr>
              <w:t xml:space="preserve">$4,000,000 – $4,499,999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1,400</w:t>
            </w:r>
          </w:p>
        </w:tc>
      </w:tr>
      <w:tr>
        <w:tc>
          <w:tcPr>
            <w:tcW w:w="2430" w:type="dxa"/>
            <w:vAlign w:val="top"/>
          </w:tcPr>
          <w:p>
            <w:pPr>
              <w:spacing w:before="0" w:after="0" w:line="408" w:lineRule="exact"/>
              <w:ind w:left="0" w:right="0" w:firstLine="0"/>
              <w:jc w:val="left"/>
            </w:pPr>
            <w:r>
              <w:rPr>
                <w:rFonts w:ascii="Times New Roman" w:hAnsi="Times New Roman"/>
                <w:sz w:val="20"/>
              </w:rPr>
              <w:t xml:space="preserve">$4,500,000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1,575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$5,000,000 – $5,499,999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1,750</w:t>
            </w:r>
          </w:p>
        </w:tc>
      </w:tr>
      <w:tr>
        <w:tc>
          <w:tcPr>
            <w:tcW w:w="2430" w:type="dxa"/>
            <w:vAlign w:val="top"/>
          </w:tcPr>
          <w:p>
            <w:pPr>
              <w:spacing w:before="0" w:after="0" w:line="408" w:lineRule="exact"/>
              <w:ind w:left="0" w:right="0" w:firstLine="0"/>
              <w:jc w:val="left"/>
            </w:pPr>
            <w:r>
              <w:rPr>
                <w:rFonts w:ascii="Times New Roman" w:hAnsi="Times New Roman"/>
                <w:sz w:val="20"/>
              </w:rPr>
              <w:t xml:space="preserve">$5,500,000 – $5,999,999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1,925</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$6,000,000 – $6,499,999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$6,500,000 – $6,999,999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2,275</w:t>
            </w:r>
          </w:p>
        </w:tc>
      </w:tr>
      <w:tr>
        <w:tc>
          <w:tcPr>
            <w:tcW w:w="2430" w:type="dxa"/>
            <w:vAlign w:val="top"/>
          </w:tcPr>
          <w:p>
            <w:pPr>
              <w:spacing w:before="0" w:after="0" w:line="408" w:lineRule="exact"/>
              <w:ind w:left="0" w:right="0" w:firstLine="0"/>
              <w:jc w:val="left"/>
            </w:pPr>
            <w:r>
              <w:rPr>
                <w:rFonts w:ascii="Times New Roman" w:hAnsi="Times New Roman"/>
                <w:sz w:val="20"/>
              </w:rPr>
              <w:t xml:space="preserve">$7,000,000 – $7,499,999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2,450</w:t>
            </w:r>
          </w:p>
        </w:tc>
      </w:tr>
      <w:tr>
        <w:tc>
          <w:tcPr>
            <w:tcW w:w="2430" w:type="dxa"/>
            <w:vAlign w:val="top"/>
          </w:tcPr>
          <w:p>
            <w:pPr>
              <w:spacing w:before="0" w:after="0" w:line="408" w:lineRule="exact"/>
              <w:ind w:left="0" w:right="0" w:firstLine="0"/>
              <w:jc w:val="left"/>
            </w:pPr>
            <w:r>
              <w:rPr>
                <w:rFonts w:ascii="Times New Roman" w:hAnsi="Times New Roman"/>
                <w:sz w:val="20"/>
              </w:rPr>
              <w:t xml:space="preserve">$7,500,000 – $7,999,999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2,625</w:t>
            </w:r>
          </w:p>
        </w:tc>
      </w:tr>
      <w:tr>
        <w:tc>
          <w:tcPr>
            <w:tcW w:w="2430" w:type="dxa"/>
            <w:vAlign w:val="top"/>
          </w:tcPr>
          <w:p>
            <w:pPr>
              <w:spacing w:before="0" w:after="0" w:line="408" w:lineRule="exact"/>
              <w:ind w:left="0" w:right="0" w:firstLine="0"/>
              <w:jc w:val="left"/>
            </w:pPr>
            <w:r>
              <w:rPr>
                <w:rFonts w:ascii="Times New Roman" w:hAnsi="Times New Roman"/>
                <w:sz w:val="20"/>
              </w:rPr>
              <w:t xml:space="preserve">$8,000,000 – $8,499,999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2,800</w:t>
            </w:r>
          </w:p>
        </w:tc>
      </w:tr>
      <w:tr>
        <w:tc>
          <w:tcPr>
            <w:tcW w:w="2430" w:type="dxa"/>
            <w:vAlign w:val="top"/>
          </w:tcPr>
          <w:p>
            <w:pPr>
              <w:spacing w:before="0" w:after="0" w:line="408" w:lineRule="exact"/>
              <w:ind w:left="0" w:right="0" w:firstLine="0"/>
              <w:jc w:val="left"/>
            </w:pPr>
            <w:r>
              <w:rPr>
                <w:rFonts w:ascii="Times New Roman" w:hAnsi="Times New Roman"/>
                <w:sz w:val="20"/>
              </w:rPr>
              <w:t xml:space="preserve">$8,500,000 – $8,999,999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2,975</w:t>
            </w:r>
          </w:p>
        </w:tc>
      </w:tr>
      <w:tr>
        <w:tc>
          <w:tcPr>
            <w:tcW w:w="2430" w:type="dxa"/>
            <w:vAlign w:val="top"/>
          </w:tcPr>
          <w:p>
            <w:pPr>
              <w:spacing w:before="0" w:after="0" w:line="408" w:lineRule="exact"/>
              <w:ind w:left="0" w:right="0" w:firstLine="0"/>
              <w:jc w:val="left"/>
            </w:pPr>
            <w:r>
              <w:rPr>
                <w:rFonts w:ascii="Times New Roman" w:hAnsi="Times New Roman"/>
                <w:sz w:val="20"/>
              </w:rPr>
              <w:t xml:space="preserve">$9,000,000 – $9,499,999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3,150</w:t>
            </w:r>
          </w:p>
        </w:tc>
      </w:tr>
      <w:tr>
        <w:tc>
          <w:tcPr>
            <w:tcW w:w="2430" w:type="dxa"/>
            <w:vAlign w:val="top"/>
          </w:tcPr>
          <w:p>
            <w:pPr>
              <w:spacing w:before="0" w:after="0" w:line="408" w:lineRule="exact"/>
              <w:ind w:left="0" w:right="0" w:firstLine="0"/>
              <w:jc w:val="left"/>
            </w:pPr>
            <w:r>
              <w:rPr>
                <w:rFonts w:ascii="Times New Roman" w:hAnsi="Times New Roman"/>
                <w:sz w:val="20"/>
              </w:rPr>
              <w:t xml:space="preserve">$9,500,000 – $9,999,999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3,325</w:t>
            </w:r>
          </w:p>
        </w:tc>
      </w:tr>
      <w:tr>
        <w:tc>
          <w:tcPr>
            <w:tcW w:w="2430" w:type="dxa"/>
            <w:vAlign w:val="top"/>
          </w:tcPr>
          <w:p>
            <w:pPr>
              <w:spacing w:before="0" w:after="0" w:line="408" w:lineRule="exact"/>
              <w:ind w:left="0" w:right="0" w:firstLine="0"/>
              <w:jc w:val="left"/>
            </w:pPr>
            <w:r>
              <w:rPr>
                <w:rFonts w:ascii="Times New Roman" w:hAnsi="Times New Roman"/>
                <w:sz w:val="20"/>
              </w:rPr>
              <w:t xml:space="preserve">Over $10,000,000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3,500</w:t>
            </w:r>
          </w:p>
        </w:tc>
      </w:tr>
    </w:tbl>
    <w:p>
      <w:pPr>
        <w:spacing w:before="0" w:after="0" w:line="408" w:lineRule="exact"/>
        <w:ind w:left="0" w:right="0" w:firstLine="576"/>
        <w:jc w:val="left"/>
      </w:pPr>
      <w:r>
        <w:rPr/>
        <w:t xml:space="preserve">(b) Attractions and entertainment.</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$200,000 – $599,999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$1,000,000 – $1,999,999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400</w:t>
            </w:r>
          </w:p>
        </w:tc>
      </w:tr>
      <w:tr>
        <w:tc>
          <w:tcPr>
            <w:tcW w:w="2430" w:type="dxa"/>
            <w:vAlign w:val="top"/>
          </w:tcPr>
          <w:p>
            <w:pPr>
              <w:spacing w:before="0" w:after="0" w:line="408" w:lineRule="exact"/>
              <w:ind w:left="0" w:right="0" w:firstLine="0"/>
              <w:jc w:val="left"/>
            </w:pPr>
            <w:r>
              <w:rPr>
                <w:rFonts w:ascii="Times New Roman" w:hAnsi="Times New Roman"/>
                <w:sz w:val="20"/>
              </w:rPr>
              <w:t xml:space="preserve">$2,000,000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2,500</w:t>
            </w:r>
          </w:p>
        </w:tc>
      </w:tr>
    </w:tbl>
    <w:p>
      <w:pPr>
        <w:spacing w:before="0" w:after="0" w:line="408" w:lineRule="exact"/>
        <w:ind w:left="0" w:right="0" w:firstLine="576"/>
        <w:jc w:val="left"/>
      </w:pPr>
      <w:r>
        <w:rPr/>
        <w:t xml:space="preserve">(c) Retail.</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$200,000 – $599,999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w:t>
            </w:r>
          </w:p>
        </w:tc>
      </w:tr>
      <w:tr>
        <w:tc>
          <w:tcPr>
            <w:tcW w:w="2430" w:type="dxa"/>
            <w:vAlign w:val="top"/>
          </w:tcPr>
          <w:p>
            <w:pPr>
              <w:spacing w:before="0" w:after="0" w:line="408" w:lineRule="exact"/>
              <w:ind w:left="0" w:right="0" w:firstLine="0"/>
              <w:jc w:val="left"/>
            </w:pPr>
            <w:r>
              <w:rPr>
                <w:rFonts w:ascii="Times New Roman" w:hAnsi="Times New Roman"/>
                <w:sz w:val="20"/>
              </w:rPr>
              <w:t xml:space="preserve">$600,000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200</w:t>
            </w:r>
          </w:p>
        </w:tc>
      </w:tr>
      <w:tr>
        <w:tc>
          <w:tcPr>
            <w:tcW w:w="2430" w:type="dxa"/>
            <w:vAlign w:val="top"/>
          </w:tcPr>
          <w:p>
            <w:pPr>
              <w:spacing w:before="0" w:after="0" w:line="408" w:lineRule="exact"/>
              <w:ind w:left="0" w:right="0" w:firstLine="0"/>
              <w:jc w:val="left"/>
            </w:pPr>
            <w:r>
              <w:rPr>
                <w:rFonts w:ascii="Times New Roman" w:hAnsi="Times New Roman"/>
                <w:sz w:val="20"/>
              </w:rPr>
              <w:t xml:space="preserve">$1 million –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600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1,200</w:t>
            </w:r>
          </w:p>
        </w:tc>
      </w:tr>
    </w:tbl>
    <w:p>
      <w:pPr>
        <w:spacing w:before="0" w:after="0" w:line="408" w:lineRule="exact"/>
        <w:ind w:left="0" w:right="0" w:firstLine="576"/>
        <w:jc w:val="left"/>
      </w:pPr>
      <w:r>
        <w:rPr/>
        <w:t xml:space="preserve">(d) Transportation.</w:t>
      </w:r>
    </w:p>
    <w:tbl>
      <w:tblPr>
        <w:tblW w:w="0" w:type="auto"/>
        <w:jc w:val="center"/>
        <w:tcMar>
          <w:tblCellMar>
            <w:top w:w="0" w:type="dxa"/>
          </w:tblCellMar>
        </w:tcMar>
        <w:tcMar>
          <w:tblCellMar>
            <w:left w:w="70" w:type="dxa"/>
            <w:right w:w="70" w:type="dxa"/>
          </w:tblCellMar>
        </w:tcMar>
      </w:tblPr>
      <w:tblGrid>
        <w:gridCol w:w="2430"/>
        <w:gridCol w:w="1730"/>
        <w:gridCol w:w="700"/>
      </w:tblGrid>
      <w:tr>
        <w:tc>
          <w:tcPr>
            <w:tcW w:w="2430" w:type="dxa"/>
            <w:vAlign w:val="top"/>
          </w:tcPr>
          <w:p>
            <w:pPr>
              <w:spacing w:before="0" w:after="0" w:line="408" w:lineRule="exact"/>
              <w:ind w:left="0" w:right="0" w:firstLine="0"/>
              <w:jc w:val="left"/>
            </w:pPr>
            <w:r>
              <w:rPr>
                <w:rFonts w:ascii="Times New Roman" w:hAnsi="Times New Roman"/>
                <w:sz w:val="20"/>
              </w:rPr>
              <w:t xml:space="preserve">Less than $500,000</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125</w:t>
            </w:r>
          </w:p>
        </w:tc>
      </w:tr>
      <w:tr>
        <w:tc>
          <w:tcPr>
            <w:tcW w:w="2430" w:type="dxa"/>
            <w:vAlign w:val="top"/>
          </w:tcPr>
          <w:p>
            <w:pPr>
              <w:spacing w:before="0" w:after="0" w:line="408" w:lineRule="exact"/>
              <w:ind w:left="0" w:right="0" w:firstLine="0"/>
              <w:jc w:val="left"/>
            </w:pPr>
            <w:r>
              <w:rPr>
                <w:rFonts w:ascii="Times New Roman" w:hAnsi="Times New Roman"/>
                <w:sz w:val="20"/>
              </w:rPr>
              <w:t xml:space="preserve">$500,000 – $999,999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w:t>
            </w:r>
          </w:p>
        </w:tc>
      </w:tr>
      <w:tr>
        <w:tc>
          <w:tcPr>
            <w:tcW w:w="2430" w:type="dxa"/>
            <w:vAlign w:val="top"/>
          </w:tcPr>
          <w:p>
            <w:pPr>
              <w:spacing w:before="0" w:after="0" w:line="408" w:lineRule="exact"/>
              <w:ind w:left="0" w:right="0" w:firstLine="0"/>
              <w:jc w:val="left"/>
            </w:pPr>
            <w:r>
              <w:rPr>
                <w:rFonts w:ascii="Times New Roman" w:hAnsi="Times New Roman"/>
                <w:sz w:val="20"/>
              </w:rPr>
              <w:t xml:space="preserve">$1 million – $4,999,999</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1,000</w:t>
            </w:r>
          </w:p>
        </w:tc>
      </w:tr>
      <w:tr>
        <w:tc>
          <w:tcPr>
            <w:tcW w:w="2430" w:type="dxa"/>
            <w:vAlign w:val="top"/>
          </w:tcPr>
          <w:p>
            <w:pPr>
              <w:spacing w:before="0" w:after="0" w:line="408" w:lineRule="exact"/>
              <w:ind w:left="0" w:right="0" w:firstLine="0"/>
              <w:jc w:val="left"/>
            </w:pPr>
            <w:r>
              <w:rPr>
                <w:rFonts w:ascii="Times New Roman" w:hAnsi="Times New Roman"/>
                <w:sz w:val="20"/>
              </w:rPr>
              <w:t xml:space="preserve">Greater than $5 million</w:t>
            </w:r>
          </w:p>
        </w:tc>
        <w:tc>
          <w:tcPr>
            <w:tcW w:w="1730" w:type="dxa"/>
            <w:vAlign w:val="top"/>
          </w:tcPr>
          <w:p>
            <w:pPr>
              <w:spacing w:before="0" w:after="0" w:line="408" w:lineRule="exact"/>
              <w:ind w:left="0" w:right="0" w:firstLine="0"/>
              <w:jc w:val="right"/>
            </w:pPr>
            <w:r>
              <w:rPr>
                <w:rFonts w:ascii="Times New Roman" w:hAnsi="Times New Roman"/>
                <w:sz w:val="20"/>
              </w:rPr>
              <w:t xml:space="preserve">$</w:t>
            </w:r>
          </w:p>
        </w:tc>
        <w:tc>
          <w:tcPr>
            <w:tcW w:w="700" w:type="dxa"/>
            <w:vAlign w:val="top"/>
          </w:tcPr>
          <w:p>
            <w:pPr>
              <w:spacing w:before="0" w:after="0" w:line="408" w:lineRule="exact"/>
              <w:ind w:left="0" w:right="0" w:firstLine="0"/>
              <w:jc w:val="right"/>
            </w:pPr>
            <w:r>
              <w:rPr>
                <w:rFonts w:ascii="Times New Roman" w:hAnsi="Times New Roman"/>
                <w:sz w:val="20"/>
              </w:rPr>
              <w:t xml:space="preserve">2,500</w:t>
            </w:r>
          </w:p>
        </w:tc>
      </w:tr>
    </w:tbl>
    <w:p>
      <w:pPr>
        <w:spacing w:before="0" w:after="0" w:line="408" w:lineRule="exact"/>
        <w:ind w:left="0" w:right="0" w:firstLine="576"/>
        <w:jc w:val="left"/>
      </w:pPr>
      <w:r>
        <w:rPr/>
        <w:t xml:space="preserve">(5) Fees shall be collected through the secretary's registration system for corporations and limited liability companies in collaboration with the department's business licensing service.</w:t>
      </w:r>
    </w:p>
    <w:p>
      <w:pPr>
        <w:spacing w:before="0" w:after="0" w:line="408" w:lineRule="exact"/>
        <w:ind w:left="0" w:right="0" w:firstLine="576"/>
        <w:jc w:val="left"/>
      </w:pPr>
      <w:r>
        <w:rPr/>
        <w:t xml:space="preserve">(6) The department must send a list of businesses in assessed sectors to the secretary and the authority annually at a time and in a form and format as mutually agreed to by the department, the secretary, and the authority. The list must identify lodging separately from other assessed sectors.</w:t>
      </w:r>
    </w:p>
    <w:p>
      <w:pPr>
        <w:spacing w:before="0" w:after="0" w:line="408" w:lineRule="exact"/>
        <w:ind w:left="0" w:right="0" w:firstLine="576"/>
        <w:jc w:val="left"/>
      </w:pPr>
      <w:r>
        <w:rPr/>
        <w:t xml:space="preserve">(7) Any business subject to a fee under this section may be audited by the department to determine if the correct fee was paid.</w:t>
      </w:r>
    </w:p>
    <w:p>
      <w:pPr>
        <w:spacing w:before="0" w:after="0" w:line="408" w:lineRule="exact"/>
        <w:ind w:left="0" w:right="0" w:firstLine="576"/>
        <w:jc w:val="left"/>
      </w:pPr>
      <w:r>
        <w:rPr/>
        <w:t xml:space="preserve">(8) If the legislature redirects or changes the use of the statewide tourism marketing account to a use other than that authorized in this chapter, fees shall not be imposed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shall use any funds legally available to it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w:t>
      </w:r>
    </w:p>
    <w:p>
      <w:pPr>
        <w:spacing w:before="0" w:after="0" w:line="408" w:lineRule="exact"/>
        <w:ind w:left="0" w:right="0" w:firstLine="576"/>
        <w:jc w:val="left"/>
      </w:pPr>
      <w:r>
        <w:rPr/>
        <w:t xml:space="preserve">(b) Contracting for the evaluation of the impact of the statewide tourism marketing program;</w:t>
      </w:r>
    </w:p>
    <w:p>
      <w:pPr>
        <w:spacing w:before="0" w:after="0" w:line="408" w:lineRule="exact"/>
        <w:ind w:left="0" w:right="0" w:firstLine="576"/>
        <w:jc w:val="left"/>
      </w:pPr>
      <w:r>
        <w:rPr/>
        <w:t xml:space="preserve">(c) Paying for the costs to administer section 6 of this act and chapter 82.--- RCW (the new chapter created in section 16 of this act) as provided in section 5(2) of this act; and</w:t>
      </w:r>
    </w:p>
    <w:p>
      <w:pPr>
        <w:spacing w:before="0" w:after="0" w:line="408" w:lineRule="exact"/>
        <w:ind w:left="0" w:right="0" w:firstLine="576"/>
        <w:jc w:val="left"/>
      </w:pPr>
      <w:r>
        <w:rPr/>
        <w:t xml:space="preserve">(d) Paying for other administrative expenses of the authority, which shall not exceed one and one-half percent of funds collected in any fiscal year.</w:t>
      </w:r>
    </w:p>
    <w:p>
      <w:pPr>
        <w:spacing w:before="0" w:after="0" w:line="408" w:lineRule="exact"/>
        <w:ind w:left="0" w:right="0" w:firstLine="576"/>
        <w:jc w:val="left"/>
      </w:pPr>
      <w:r>
        <w:rPr/>
        <w:t xml:space="preserve">(2) In entering into a contract for a statewide marketing program, the authority must consider a statewide nonprofit organization governed by a board reflecting all sectors of the tourism industry and having geographically diverse representation. If, after appropriate notice, the authority determines that there is only one qualified entity, then the authority may issue a sole source contract. The authority shall include a provision in such a contract that will enable the contractor to pay expenses in a timely manner.</w:t>
      </w:r>
    </w:p>
    <w:p>
      <w:pPr>
        <w:spacing w:before="0" w:after="0" w:line="408" w:lineRule="exact"/>
        <w:ind w:left="0" w:right="0" w:firstLine="576"/>
        <w:jc w:val="left"/>
      </w:pPr>
      <w:r>
        <w:rPr/>
        <w:t xml:space="preserve">(3) The authority must avoid creating new infrastructure already available through private industry in the state.</w:t>
      </w:r>
    </w:p>
    <w:p>
      <w:pPr>
        <w:spacing w:before="0" w:after="0" w:line="408" w:lineRule="exact"/>
        <w:ind w:left="0" w:right="0" w:firstLine="576"/>
        <w:jc w:val="left"/>
      </w:pPr>
      <w:r>
        <w:rPr/>
        <w:t xml:space="preserve">(4)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0" w:after="0" w:line="408" w:lineRule="exact"/>
        <w:ind w:left="0" w:right="0" w:firstLine="576"/>
        <w:jc w:val="left"/>
      </w:pPr>
      <w:r>
        <w:rPr/>
        <w:t xml:space="preserve">(5) The authority may suspend the fees if the authority, by a majority vote, determines that the program as implemented pursuant to subsection (1)(a) of this section is not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"Lodging business" means a person that furnishes lodging  taxable by the state under chapter 82.08 RCW at a facility that has twenty or more lodging units.</w:t>
      </w:r>
    </w:p>
    <w:p>
      <w:pPr>
        <w:spacing w:before="0" w:after="0" w:line="408" w:lineRule="exact"/>
        <w:ind w:left="0" w:right="0" w:firstLine="576"/>
        <w:jc w:val="left"/>
      </w:pPr>
      <w:r>
        <w:rPr/>
        <w:t xml:space="preserve">(2) "Occupied room" means a room in a facility operated by a lodging business, if the room is used by an overnight guest for consideration.</w:t>
      </w:r>
    </w:p>
    <w:p>
      <w:pPr>
        <w:spacing w:before="0" w:after="0" w:line="408" w:lineRule="exact"/>
        <w:ind w:left="0" w:right="0" w:firstLine="576"/>
        <w:jc w:val="left"/>
      </w:pPr>
      <w:r>
        <w:rPr/>
        <w:t xml:space="preserve">(3) Unless the context clearly requires otherwise, the definitions in chapters 82.04, 82.08, and 82.12 RCW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imposed on every lodging business in the state a charge of fifteen cents per occupied room per night. The charge is the sole obligation of the lodging business, but the lodging business may separately itemize the charge on any invoice or other document of sale provided to the guest.</w:t>
      </w:r>
    </w:p>
    <w:p>
      <w:pPr>
        <w:spacing w:before="0" w:after="0" w:line="408" w:lineRule="exact"/>
        <w:ind w:left="0" w:right="0" w:firstLine="576"/>
        <w:jc w:val="left"/>
      </w:pPr>
      <w:r>
        <w:rPr/>
        <w:t xml:space="preserve">(2) Chapter 82.32 RCW applies to the charge imposed in this section. The due dates, reporting periods, and return requirements applicable to a lodging business for the taxes imposed in chapters 82.04 and 82.08 RCW also apply to the charge on lodging imposed in this section.</w:t>
      </w:r>
    </w:p>
    <w:p>
      <w:pPr>
        <w:spacing w:before="0" w:after="0" w:line="408" w:lineRule="exact"/>
        <w:ind w:left="0" w:right="0" w:firstLine="576"/>
        <w:jc w:val="left"/>
      </w:pPr>
      <w:r>
        <w:rPr/>
        <w:t xml:space="preserve">(3) All revenue collected under this section, including penalties and interest on delinquent lodging charges, must be deposited in the statewide tourism marketing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charge on lodging authorized under this chapter does not apply with respect to lodging if the charge made for the lodging is not subject to the tax imposed in chapter 82.08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b4e3380d3a6c44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66c0bce0b64050" /><Relationship Type="http://schemas.openxmlformats.org/officeDocument/2006/relationships/footer" Target="/word/footer.xml" Id="Rb4e3380d3a6c44f7" /></Relationships>
</file>