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c941a6e924a53" /></Relationships>
</file>

<file path=word/document.xml><?xml version="1.0" encoding="utf-8"?>
<w:document xmlns:w="http://schemas.openxmlformats.org/wordprocessingml/2006/main">
  <w:body>
    <w:p>
      <w:r>
        <w:t>S-1882.2</w:t>
      </w:r>
    </w:p>
    <w:p>
      <w:pPr>
        <w:jc w:val="center"/>
      </w:pPr>
      <w:r>
        <w:t>_______________________________________________</w:t>
      </w:r>
    </w:p>
    <w:p/>
    <w:p>
      <w:pPr>
        <w:jc w:val="center"/>
      </w:pPr>
      <w:r>
        <w:rPr>
          <w:b/>
        </w:rPr>
        <w:t>SUBSTITUTE SENATE BILL 5907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Chase, Cleveland, and Litzow)</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and use tax exemption for technology sold to, or used in, public schools;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technology to public schools.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"Public schools" has the same meaning as provided in RCW 28A.150.010.</w:t>
      </w:r>
    </w:p>
    <w:p>
      <w:pPr>
        <w:spacing w:before="0" w:after="0" w:line="408" w:lineRule="exact"/>
        <w:ind w:left="0" w:right="0" w:firstLine="576"/>
        <w:jc w:val="left"/>
      </w:pPr>
      <w:r>
        <w:rPr/>
        <w:t xml:space="preserve">(b) "Technology" means computer hardware, peripherals, digital products, software, remote access software, or items of tangible personal property that include or require software to operate, for use by students or instructors or administrators in a classroom or other instructional setting, such as printers, projectors, document cameras, smart boards, databases, internet access, computer network security, online applications, software licenses, or similar classroom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with respect to the use of technology in public schools, as defined in RCW 28A.150.010, including, but not limited to: Computers, printers, projectors, document cameras, smart boards, classroom technology, software, service systems, databases, internet, network security, subscriptions, online applications, and software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tax preferences created in this act to be permanent. Therefore, the tax preferences created in sections 1 and 2 of this act are exempt from the provisions of RCW 82.32.805 and 82.32.808.</w:t>
      </w:r>
    </w:p>
    <w:p/>
    <w:p>
      <w:pPr>
        <w:jc w:val="center"/>
      </w:pPr>
      <w:r>
        <w:rPr>
          <w:b/>
        </w:rPr>
        <w:t>--- END ---</w:t>
      </w:r>
    </w:p>
    <w:sectPr>
      <w:pgNumType w:start="1"/>
      <w:footerReference xmlns:r="http://schemas.openxmlformats.org/officeDocument/2006/relationships" r:id="Rb8e7bb72dcbe44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b3aeab92c8482e" /><Relationship Type="http://schemas.openxmlformats.org/officeDocument/2006/relationships/footer" Target="/word/footer.xml" Id="Rb8e7bb72dcbe44fc" /></Relationships>
</file>