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61e672a8b4601" /></Relationships>
</file>

<file path=word/document.xml><?xml version="1.0" encoding="utf-8"?>
<w:document xmlns:w="http://schemas.openxmlformats.org/wordprocessingml/2006/main">
  <w:body>
    <w:p>
      <w:r>
        <w:t>S-1988.1</w:t>
      </w:r>
    </w:p>
    <w:p>
      <w:pPr>
        <w:jc w:val="center"/>
      </w:pPr>
      <w:r>
        <w:t>_______________________________________________</w:t>
      </w:r>
    </w:p>
    <w:p/>
    <w:p>
      <w:pPr>
        <w:jc w:val="center"/>
      </w:pPr>
      <w:r>
        <w:rPr>
          <w:b/>
        </w:rPr>
        <w:t>SUBSTITUTE SENATE BILL 5888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and Miloscia)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near fatality incidents of children who have received services from the department of social and health services; amending RCW 74.13.640; adding a new section to chapter 26.44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2013 c 23 s 209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minor who is in the care of the department or a supervising agency or receiving services described in this chapter or who has been in the care of the department or a supervising agency or received services described in this chapter within one year preceding the minor's death.</w:t>
      </w:r>
    </w:p>
    <w:p>
      <w:pPr>
        <w:spacing w:before="0" w:after="0" w:line="408" w:lineRule="exact"/>
        <w:ind w:left="0" w:right="0" w:firstLine="576"/>
        <w:jc w:val="left"/>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rPr/>
        <w:t xml:space="preserve">(c)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rPr/>
        <w:t xml:space="preserve">(e) The department shall develop and implement procedures to carry out the requirements of this section.</w:t>
      </w:r>
    </w:p>
    <w:p>
      <w:pPr>
        <w:spacing w:before="0" w:after="0" w:line="408" w:lineRule="exact"/>
        <w:ind w:left="0" w:right="0" w:firstLine="576"/>
        <w:jc w:val="left"/>
      </w:pPr>
      <w:r>
        <w:rPr/>
        <w:t xml:space="preserve">(2)</w:t>
      </w:r>
      <w:r>
        <w:rPr>
          <w:u w:val="single"/>
        </w:rPr>
        <w:t xml:space="preserve">(a)</w:t>
      </w:r>
      <w:r>
        <w:rPr/>
        <w:t xml:space="preserve">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one year preceding the near fatality, the department shall promptly notify the office of the family and children's ombuds. The department may conduct a review of the near fatality at its discretion or at the request of the office of the family and children's ombuds.</w:t>
      </w:r>
    </w:p>
    <w:p>
      <w:pPr>
        <w:spacing w:before="0" w:after="0" w:line="408" w:lineRule="exact"/>
        <w:ind w:left="0" w:right="0" w:firstLine="576"/>
        <w:jc w:val="left"/>
      </w:pPr>
      <w:r>
        <w:rPr>
          <w:u w:val="single"/>
        </w:rPr>
        <w:t xml:space="preserve">(b) In the event of a near fatality of a child who is in the care of or receiving services described in this chapter from the department or a supervising agency or who has been in the care of or received services described in this chapter from the department or a supervising agency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u w:val="single"/>
        </w:rPr>
        <w:t xml:space="preserve">(c) "Near fatality" means an act that, as certified by a physician, places the child in serious or critical condition.</w:t>
      </w:r>
    </w:p>
    <w:p>
      <w:pPr>
        <w:spacing w:before="0" w:after="0" w:line="408" w:lineRule="exact"/>
        <w:ind w:left="0" w:right="0" w:firstLine="576"/>
        <w:jc w:val="left"/>
      </w:pPr>
      <w:r>
        <w:rPr/>
        <w:t xml:space="preserve">(3) In any review of a child fatality or near fatality in which the child was placed with or received services from a supervising agency pursuant to a contract with the department, the department and the fatality review team shall have access to all records and files regarding the child or otherwise relevant to the review that have been produced or retained by the supervising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When a social worker or other employee of the department responds to an allegation of child abuse or neglect and there is a subsequent allegation of abuse or neglect resulting in a near fatality within one year of the initial allegation that is screened in and open for investigation, the department is to immediately conduct a review of the social worker's and social worker's supervisor's files and actions taken during the initial report of alleged child abuse or neglect. The purpose of the review is to determine if there were any errors by the employees under department policy, rule, or state statute. If any violations of policy, rule, or statute are found, the department is to conduct a formal employee investigation.</w:t>
      </w:r>
    </w:p>
    <w:p>
      <w:pPr>
        <w:spacing w:before="0" w:after="0" w:line="408" w:lineRule="exact"/>
        <w:ind w:left="0" w:right="0" w:firstLine="576"/>
        <w:jc w:val="left"/>
      </w:pPr>
      <w:r>
        <w:rPr/>
        <w:t xml:space="preserve">(2) "Near fatality" has the same meaning as in RCW 74.13.640.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Aiden's act.</w:t>
      </w:r>
    </w:p>
    <w:p/>
    <w:p>
      <w:pPr>
        <w:jc w:val="center"/>
      </w:pPr>
      <w:r>
        <w:rPr>
          <w:b/>
        </w:rPr>
        <w:t>--- END ---</w:t>
      </w:r>
    </w:p>
    <w:sectPr>
      <w:pgNumType w:start="1"/>
      <w:footerReference xmlns:r="http://schemas.openxmlformats.org/officeDocument/2006/relationships" r:id="R6eb05e57c5c143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73c58913e441bc" /><Relationship Type="http://schemas.openxmlformats.org/officeDocument/2006/relationships/footer" Target="/word/footer.xml" Id="R6eb05e57c5c14311" /></Relationships>
</file>