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849a9513804f07" /></Relationships>
</file>

<file path=word/document.xml><?xml version="1.0" encoding="utf-8"?>
<w:document xmlns:w="http://schemas.openxmlformats.org/wordprocessingml/2006/main">
  <w:body>
    <w:p>
      <w:r>
        <w:t>S-0425.1</w:t>
      </w:r>
    </w:p>
    <w:p>
      <w:pPr>
        <w:jc w:val="center"/>
      </w:pPr>
      <w:r>
        <w:t>_______________________________________________</w:t>
      </w:r>
    </w:p>
    <w:p/>
    <w:p>
      <w:pPr>
        <w:jc w:val="center"/>
      </w:pPr>
      <w:r>
        <w:rPr>
          <w:b/>
        </w:rPr>
        <w:t>SENATE BILL 5876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Liias, Habib, Mullet, Hasegawa, Hobbs, Chase, Keiser, Fraser, McAuliffe, Kohl-Welles, and McCoy</w:t>
      </w:r>
    </w:p>
    <w:p/>
    <w:p>
      <w:r>
        <w:rPr>
          <w:t xml:space="preserve">Read first time 02/06/15.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imposition of a filing charge for certain property assessment appeal petitions; and amending RCW 84.40.038.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of revenue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w:t>
      </w:r>
      <w:r>
        <w:rPr>
          <w:u w:val="single"/>
        </w:rPr>
        <w:t xml:space="preserve">The county legislative authority may require that a petition to the board of equalization challenging the assessed value of a commercial property be accompanied by a reasonable filing charge, to be waived in cases of financial hardship. The county legislative authority may require the petitioner to submit reasonable documentation establishing the petitioner's eligibility to receive a waiver. Filing charges imposed by a county under this section must be awarded as costs to a petitioner that substantially prevails in proceedings before the board. A filing charge may not be imposed if the petitioner has not previously petitioned the county board of equalization under this section.</w:t>
      </w:r>
    </w:p>
    <w:p>
      <w:pPr>
        <w:spacing w:before="0" w:after="0" w:line="408" w:lineRule="exact"/>
        <w:ind w:left="0" w:right="0" w:firstLine="576"/>
        <w:jc w:val="left"/>
      </w:pPr>
      <w:r>
        <w:rPr>
          <w:u w:val="single"/>
        </w:rPr>
        <w:t xml:space="preserve">(3)</w:t>
      </w:r>
      <w:r>
        <w:rPr/>
        <w:t xml:space="preserve">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t>((</w:t>
      </w:r>
      <w:r>
        <w:rPr>
          <w:strike/>
        </w:rPr>
        <w:t xml:space="preserve">(3)</w:t>
      </w:r>
      <w:r>
        <w:t>))</w:t>
      </w:r>
      <w:r>
        <w:rPr>
          <w:u w:val="single"/>
        </w:rPr>
        <w:t xml:space="preserve">(4)</w:t>
      </w:r>
      <w:r>
        <w:rPr/>
        <w:t xml:space="preserve"> The owner or person responsible for payment of taxes on any property may request that the appeal be heard by the state board of tax appeals without a hearing by the county board of equalization when the assessor, the owner or person responsible for payment of taxes on the property, and a majority of the county board of equalization agree that a direct appeal to the state board of tax appeals is appropriate. The state board of tax appeals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state board.</w:t>
      </w:r>
    </w:p>
    <w:p>
      <w:pPr>
        <w:spacing w:before="0" w:after="0" w:line="408" w:lineRule="exact"/>
        <w:ind w:left="0" w:right="0" w:firstLine="576"/>
        <w:jc w:val="left"/>
      </w:pPr>
      <w:r>
        <w:rPr>
          <w:u w:val="single"/>
        </w:rPr>
        <w:t xml:space="preserve">(5) For purposes of this section, "commercial property" includes any real property except:</w:t>
      </w:r>
    </w:p>
    <w:p>
      <w:pPr>
        <w:spacing w:before="0" w:after="0" w:line="408" w:lineRule="exact"/>
        <w:ind w:left="0" w:right="0" w:firstLine="576"/>
        <w:jc w:val="left"/>
      </w:pPr>
      <w:r>
        <w:rPr>
          <w:u w:val="single"/>
        </w:rPr>
        <w:t xml:space="preserve">(a) A single-family residential property; or</w:t>
      </w:r>
    </w:p>
    <w:p>
      <w:pPr>
        <w:spacing w:before="0" w:after="0" w:line="408" w:lineRule="exact"/>
        <w:ind w:left="0" w:right="0" w:firstLine="576"/>
        <w:jc w:val="left"/>
      </w:pPr>
      <w:r>
        <w:rPr>
          <w:u w:val="single"/>
        </w:rPr>
        <w:t xml:space="preserve">(b) A townhouse, manufactured home, or unit within a residential condominium that is not being operated as apartments.</w:t>
      </w:r>
    </w:p>
    <w:p/>
    <w:p>
      <w:pPr>
        <w:jc w:val="center"/>
      </w:pPr>
      <w:r>
        <w:rPr>
          <w:b/>
        </w:rPr>
        <w:t>--- END ---</w:t>
      </w:r>
    </w:p>
    <w:sectPr>
      <w:pgNumType w:start="1"/>
      <w:footerReference xmlns:r="http://schemas.openxmlformats.org/officeDocument/2006/relationships" r:id="R4dcce33ae2924f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046522372f4c6b" /><Relationship Type="http://schemas.openxmlformats.org/officeDocument/2006/relationships/footer" Target="/word/footer.xml" Id="R4dcce33ae2924fa5" /></Relationships>
</file>