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644c7cf2d44ae3" /></Relationships>
</file>

<file path=word/document.xml><?xml version="1.0" encoding="utf-8"?>
<w:document xmlns:w="http://schemas.openxmlformats.org/wordprocessingml/2006/main">
  <w:body>
    <w:p>
      <w:r>
        <w:t>S-0424.1</w:t>
      </w:r>
    </w:p>
    <w:p>
      <w:pPr>
        <w:jc w:val="center"/>
      </w:pPr>
      <w:r>
        <w:t>_______________________________________________</w:t>
      </w:r>
    </w:p>
    <w:p/>
    <w:p>
      <w:pPr>
        <w:jc w:val="center"/>
      </w:pPr>
      <w:r>
        <w:rPr>
          <w:b/>
        </w:rPr>
        <w:t>SENATE BILL 5875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Mullet, Miloscia, Hasegawa, Hobbs, Chase, Keiser, Pedersen, Fraser, Kohl-Welles, McCoy, McAuliffe, and Darneille</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u w:val="single"/>
        </w:rPr>
        <w:t xml:space="preserve">must</w:t>
      </w:r>
      <w:r>
        <w:rPr/>
        <w:t xml:space="preserve"> within sixty days of such request but at least fourteen business days, excluding legal holidays, prior to such taxpayer's appearance before the board of equalization make available to the taxpayer the valuation criteria and/or comparable sales </w:t>
      </w:r>
      <w:r>
        <w:t>((</w:t>
      </w:r>
      <w:r>
        <w:rPr>
          <w:strike/>
        </w:rPr>
        <w:t xml:space="preserve">which shall</w:t>
      </w:r>
      <w:r>
        <w:t>))</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u w:val="single"/>
        </w:rPr>
        <w:t xml:space="preserve">must</w:t>
      </w:r>
      <w:r>
        <w:rPr/>
        <w:t xml:space="preserve"> provide such additional evidence to the taxpayer and the board of equalization at least fourteen business days prior to the hearing at the board of equalization. A taxpayer who lists comparable sales on a notice of appeal </w:t>
      </w:r>
      <w:r>
        <w:t>((</w:t>
      </w:r>
      <w:r>
        <w:rPr>
          <w:strike/>
        </w:rPr>
        <w:t xml:space="preserve">shall</w:t>
      </w:r>
      <w:r>
        <w:t>))</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u w:val="single"/>
        </w:rPr>
        <w:t xml:space="preserve">must</w:t>
      </w:r>
      <w:r>
        <w:rPr/>
        <w:t xml:space="preserve"> provide such additional evidence to the assessor and board of equalization at least seven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Pr>
        <w:spacing w:before="0" w:after="0" w:line="408" w:lineRule="exact"/>
        <w:ind w:left="0" w:right="0" w:firstLine="576"/>
        <w:jc w:val="left"/>
      </w:pPr>
      <w:r>
        <w:rPr>
          <w:u w:val="single"/>
        </w:rPr>
        <w:t xml:space="preserve">(3) Within sixty days from the date a petition challenging the assessed value of leased commercial property is filed with the county board of equalization, the taxpayer must submit to the board rental income and expense statements for the two years prior to the assessment date. A taxpayer who fails to provide such rental income and expense statements within the time required may not challenge the income and expense information utilized by the assessor to determine or support assessed value under an income capitalization approach.</w:t>
      </w:r>
    </w:p>
    <w:p>
      <w:pPr>
        <w:spacing w:before="0" w:after="0" w:line="408" w:lineRule="exact"/>
        <w:ind w:left="0" w:right="0" w:firstLine="576"/>
        <w:jc w:val="left"/>
      </w:pPr>
      <w:r>
        <w:rPr>
          <w:u w:val="single"/>
        </w:rPr>
        <w:t xml:space="preserve">(4) For purposes of this section, "commercial property" includes any real property except:</w:t>
      </w:r>
    </w:p>
    <w:p>
      <w:pPr>
        <w:spacing w:before="0" w:after="0" w:line="408" w:lineRule="exact"/>
        <w:ind w:left="0" w:right="0" w:firstLine="576"/>
        <w:jc w:val="left"/>
      </w:pPr>
      <w:r>
        <w:rPr>
          <w:u w:val="single"/>
        </w:rPr>
        <w:t xml:space="preserve">(a) A single-family residential property; or</w:t>
      </w:r>
    </w:p>
    <w:p>
      <w:pPr>
        <w:spacing w:before="0" w:after="0" w:line="408" w:lineRule="exact"/>
        <w:ind w:left="0" w:right="0" w:firstLine="576"/>
        <w:jc w:val="left"/>
      </w:pPr>
      <w:r>
        <w:rPr>
          <w:u w:val="single"/>
        </w:rPr>
        <w:t xml:space="preserve">(b) A townhouse, manufactured home, or unit within a residential condominium that is not being operated as an apartment.</w:t>
      </w:r>
    </w:p>
    <w:p/>
    <w:p>
      <w:pPr>
        <w:jc w:val="center"/>
      </w:pPr>
      <w:r>
        <w:rPr>
          <w:b/>
        </w:rPr>
        <w:t>--- END ---</w:t>
      </w:r>
    </w:p>
    <w:sectPr>
      <w:pgNumType w:start="1"/>
      <w:footerReference xmlns:r="http://schemas.openxmlformats.org/officeDocument/2006/relationships" r:id="Ra40cfcedd3eb4a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458c65727c4e05" /><Relationship Type="http://schemas.openxmlformats.org/officeDocument/2006/relationships/footer" Target="/word/footer.xml" Id="Ra40cfcedd3eb4add" /></Relationships>
</file>