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a699d55b94cf9" /></Relationships>
</file>

<file path=word/document.xml><?xml version="1.0" encoding="utf-8"?>
<w:document xmlns:w="http://schemas.openxmlformats.org/wordprocessingml/2006/main">
  <w:body>
    <w:p>
      <w:r>
        <w:t>S-1153.1</w:t>
      </w:r>
    </w:p>
    <w:p>
      <w:pPr>
        <w:jc w:val="center"/>
      </w:pPr>
      <w:r>
        <w:t>_______________________________________________</w:t>
      </w:r>
    </w:p>
    <w:p/>
    <w:p>
      <w:pPr>
        <w:jc w:val="center"/>
      </w:pPr>
      <w:r>
        <w:rPr>
          <w:b/>
        </w:rPr>
        <w:t>SENATE BILL 5872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02/06/15.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acquisition of land by state natural resources agencies; amending RCW 77.12.037, 77.12.220, 79.70.030, 79.71.040, and 79A.05.095; reenacting and amending RCW 79A.05.030; adding a new section to chapter 77.12 RCW; adding a new section to chapter 43.30 RCW; and adding a new section to chapter 79A.05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department must identify for sale department-owned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w:t>
      </w:r>
      <w:r>
        <w:rPr/>
        <w:noBreakHyphen/>
      </w:r>
      <w:r>
        <w:rPr/>
        <w:t xml:space="preserve">of</w:t>
      </w:r>
      <w:r>
        <w:rPr/>
        <w:noBreakHyphen/>
      </w:r>
      <w:r>
        <w:rPr/>
        <w:t xml:space="preserve">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w:t>
      </w:r>
      <w:r>
        <w:rPr/>
        <w:noBreakHyphen/>
      </w:r>
      <w:r>
        <w:rPr/>
        <w:t xml:space="preserve">of</w:t>
      </w:r>
      <w:r>
        <w:rPr/>
        <w:noBreakHyphen/>
      </w:r>
      <w:r>
        <w:rPr/>
        <w:t xml:space="preserve">way. </w:t>
      </w:r>
      <w:r>
        <w:rPr>
          <w:u w:val="single"/>
        </w:rPr>
        <w:t xml:space="preserve">Real property acquisitions by the commission or department are subject to the applicable requirements of section 1 of this act.</w:t>
      </w:r>
    </w:p>
    <w:p>
      <w:pPr>
        <w:spacing w:before="0" w:after="0" w:line="408" w:lineRule="exact"/>
        <w:ind w:left="0" w:right="0" w:firstLine="576"/>
        <w:jc w:val="left"/>
      </w:pPr>
      <w:r>
        <w:rPr>
          <w:u w:val="single"/>
        </w:rPr>
        <w:t xml:space="preserve">(2)</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220</w:t>
      </w:r>
      <w:r>
        <w:rPr/>
        <w:t xml:space="preserve"> and 2000 c 107 s 219 are each amended to read as follows:</w:t>
      </w:r>
    </w:p>
    <w:p>
      <w:pPr>
        <w:spacing w:before="0" w:after="0" w:line="408" w:lineRule="exact"/>
        <w:ind w:left="0" w:right="0" w:firstLine="576"/>
        <w:jc w:val="left"/>
      </w:pPr>
      <w:r>
        <w:rPr>
          <w:u w:val="single"/>
        </w:rPr>
        <w:t xml:space="preserve">(1)</w:t>
      </w:r>
      <w:r>
        <w:rPr/>
        <w:t xml:space="preserve"> For purposes of this title, the commission may make agreements to obtain real or personal property or to transfer or convey property held by the state to the United States or its agencies or instrumentalities, units of local government of this state, public service companies, or other persons, if in the judgment of the commission and the attorney general the transfer and conveyance is consistent with public interest. For purposes of this section, "local government" means any city, town, county, special district, municipal corporation, or quasi-municipal corporation.</w:t>
      </w:r>
    </w:p>
    <w:p>
      <w:pPr>
        <w:spacing w:before="0" w:after="0" w:line="408" w:lineRule="exact"/>
        <w:ind w:left="0" w:right="0" w:firstLine="576"/>
        <w:jc w:val="left"/>
      </w:pPr>
      <w:r>
        <w:rPr>
          <w:u w:val="single"/>
        </w:rPr>
        <w:t xml:space="preserve">(2)</w:t>
      </w:r>
      <w:r>
        <w:rPr/>
        <w:t xml:space="preserve"> If the commission agrees to a transfer or conveyance under this section or to a sale or return of real property under RCW 77.12.210, the director shall certify, with the attorney general, to the governor that the agreement has been made. The certification shall describe the real property. The governor then may execute and the secretary of state attest and deliver to the appropriate entity or person the instrument necessary to fulfill the agreement.</w:t>
      </w:r>
    </w:p>
    <w:p>
      <w:pPr>
        <w:spacing w:before="0" w:after="0" w:line="408" w:lineRule="exact"/>
        <w:ind w:left="0" w:right="0" w:firstLine="576"/>
        <w:jc w:val="left"/>
      </w:pPr>
      <w:r>
        <w:rPr>
          <w:u w:val="single"/>
        </w:rPr>
        <w:t xml:space="preserve">(3) Real property acquisitions by the commission or department are subject to the applicable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"part 5 powers and duties</w:t>
      </w:r>
      <w:r>
        <w:rPr>
          <w:rFonts w:ascii="Times New Roman" w:hAnsi="Times New Roman"/>
        </w:rPr>
        <w:t xml:space="preserve">—</w:t>
      </w:r>
      <w:r>
        <w:rPr/>
        <w:t xml:space="preserve">general" to read as follows:</w:t>
      </w:r>
    </w:p>
    <w:p>
      <w:pPr>
        <w:spacing w:before="0" w:after="0" w:line="408" w:lineRule="exact"/>
        <w:ind w:left="0" w:right="0" w:firstLine="576"/>
        <w:jc w:val="left"/>
      </w:pPr>
      <w:r>
        <w:rPr/>
        <w:t xml:space="preserve">(1) Prior to acquiring real property in any county after the effective date of this section for purposes of a natural area preserve, natural resources conservation area, or other habitat or riparian protection purposes under chapter 79.70 or 79.71 RCW or RCW 79A.15.120, the department must identify for sale department-owned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 Consistent with the plan </w:t>
      </w:r>
      <w:r>
        <w:rPr>
          <w:u w:val="single"/>
        </w:rPr>
        <w:t xml:space="preserve">and the applicable requirements of section 4 of this act</w:t>
      </w:r>
      <w:r>
        <w:rPr/>
        <w:t xml:space="preserve">,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t xml:space="preserve">The department is authorized to acquire property or less than fee interests in property, as defined by RCW 64.04.130, by all means, except eminent domain, for creating natural resources conservation areas, where </w:t>
      </w:r>
      <w:r>
        <w:rPr>
          <w:u w:val="single"/>
        </w:rPr>
        <w:t xml:space="preserve">the</w:t>
      </w:r>
      <w:r>
        <w:rPr/>
        <w:t xml:space="preserve"> acquisition </w:t>
      </w:r>
      <w:r>
        <w:rPr>
          <w:u w:val="single"/>
        </w:rPr>
        <w:t xml:space="preserve">meets the applicable requirements of section 4 of this act and</w:t>
      </w:r>
      <w:r>
        <w:rPr/>
        <w:t xml:space="preserve"> is the best way to achieve the purposes of this chapter. Areas acquired or assembled by the department for conservation purposes will be designated as "Washington natural resources conservation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commission must identify for sale agency-owned land in that same county of equal to or greater acreage than the property to be acquired.</w:t>
      </w:r>
    </w:p>
    <w:p>
      <w:pPr>
        <w:spacing w:before="0" w:after="0" w:line="408" w:lineRule="exact"/>
        <w:ind w:left="0" w:right="0" w:firstLine="576"/>
        <w:jc w:val="left"/>
      </w:pPr>
      <w:r>
        <w:rPr/>
        <w:t xml:space="preserve">(2) The commission must dispose of the land identified for sale under subsection (1) of this section as expediently as is reasonably practicable after the relevant real property acquisition. The commission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fifty years, and upon such conditions as shall be approved by the commission: PROVIDED, That leases exceeding a twenty-year term shall require a 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 television station leases shall be subject to the provisions of RCW 79A.05.085, only: PROVIDED FURTHER, That the rates of such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w:t>
      </w:r>
      <w:r>
        <w:rPr>
          <w:u w:val="single"/>
        </w:rPr>
        <w:t xml:space="preserve">and consistent with the applicable requirements of section 7 of this act,</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095</w:t>
      </w:r>
      <w:r>
        <w:rPr/>
        <w:t xml:space="preserve"> and 1999 c 249 s 901 are each amended to read as follows:</w:t>
      </w:r>
    </w:p>
    <w:p>
      <w:pPr>
        <w:spacing w:before="0" w:after="0" w:line="408" w:lineRule="exact"/>
        <w:ind w:left="0" w:right="0" w:firstLine="576"/>
        <w:jc w:val="left"/>
      </w:pPr>
      <w:r>
        <w:rPr/>
        <w:t xml:space="preserve">The commission may</w:t>
      </w:r>
      <w:r>
        <w:rPr>
          <w:u w:val="single"/>
        </w:rPr>
        <w:t xml:space="preserve">, consistent with the applicable requirements of section 7 of this act,</w:t>
      </w:r>
      <w:r>
        <w:rPr/>
        <w:t xml:space="preserve"> receive and accept donations of lands for state park purposes, and shall be responsible for the management and control of all lands so acquired. It may from time to time recommend to the legislature the acquisition of lands for park purposes by purchase or condemnation.</w:t>
      </w:r>
    </w:p>
    <w:p/>
    <w:p>
      <w:pPr>
        <w:jc w:val="center"/>
      </w:pPr>
      <w:r>
        <w:rPr>
          <w:b/>
        </w:rPr>
        <w:t>--- END ---</w:t>
      </w:r>
    </w:p>
    <w:sectPr>
      <w:pgNumType w:start="1"/>
      <w:footerReference xmlns:r="http://schemas.openxmlformats.org/officeDocument/2006/relationships" r:id="Rb549d794c5434c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8c11214b541e2" /><Relationship Type="http://schemas.openxmlformats.org/officeDocument/2006/relationships/footer" Target="/word/footer.xml" Id="Rb549d794c5434c96" /></Relationships>
</file>