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7fe87da994f88" /></Relationships>
</file>

<file path=word/document.xml><?xml version="1.0" encoding="utf-8"?>
<w:document xmlns:w="http://schemas.openxmlformats.org/wordprocessingml/2006/main">
  <w:body>
    <w:p>
      <w:r>
        <w:t>S-1057.2</w:t>
      </w:r>
    </w:p>
    <w:p>
      <w:pPr>
        <w:jc w:val="center"/>
      </w:pPr>
      <w:r>
        <w:t>_______________________________________________</w:t>
      </w:r>
    </w:p>
    <w:p/>
    <w:p>
      <w:pPr>
        <w:jc w:val="center"/>
      </w:pPr>
      <w:r>
        <w:rPr>
          <w:b/>
        </w:rPr>
        <w:t>SENATE BILL 5834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Rolfes, Nelson, Frockt, Kohl-Welles, and Conway</w:t>
      </w:r>
    </w:p>
    <w:p/>
    <w:p>
      <w:r>
        <w:rPr>
          <w:t xml:space="preserve">Read first time 02/05/15.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90.56.005, 90.56.010, 90.56.500, 90.56.510, 88.40.011, 88.40.025, 88.40.030, 88.40.040, 88.16.170, 88.16.190, and 82.23B.020; reenacting and amending RCW 88.46.010 and 88.40.020; adding new sections to chapter 90.56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state is experiencing rapid changes in how crude oil moves through rail corridors and over Washington waters, creating new safety and environmental risks. The changing sources and transport of crude oil bring new risks to our communities along rail lines and to the Columbia river, Grays Harbor, and Puget Sound waters. Since 2008, rail traffic hauling crude oil has increased more than forty-fold nationwide and major accidents have occurred over the past year in both the United States and Canada.</w:t>
      </w:r>
      <w:r>
        <w:rPr/>
        <w:t xml:space="preserve"> These shipments are expected to increase in the coming years. Vessels </w:t>
      </w:r>
      <w:r>
        <w:rPr>
          <w:u w:val="single"/>
        </w:rPr>
        <w:t xml:space="preserve">and railroads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 The account shall be used exclusively to pay for:</w:t>
      </w:r>
    </w:p>
    <w:p>
      <w:pPr>
        <w:spacing w:before="0" w:after="0" w:line="408" w:lineRule="exact"/>
        <w:ind w:left="0" w:right="0" w:firstLine="576"/>
        <w:jc w:val="left"/>
      </w:pPr>
      <w:r>
        <w:rPr/>
        <w:t xml:space="preserve">(a) The costs associated with the response to spills </w:t>
      </w:r>
      <w:r>
        <w:t>((</w:t>
      </w:r>
      <w:r>
        <w:rPr>
          <w:strike/>
        </w:rPr>
        <w:t xml:space="preserve">of crude oil or petroleum products into the navigable</w:t>
      </w:r>
      <w:r>
        <w:t>))</w:t>
      </w:r>
      <w:r>
        <w:rPr>
          <w:u w:val="single"/>
        </w:rPr>
        <w:t xml:space="preserve">or threats of spills of oil or hazardous substances to the</w:t>
      </w:r>
      <w:r>
        <w:rPr/>
        <w:t xml:space="preserve"> waters of the state; and</w:t>
      </w:r>
    </w:p>
    <w:p>
      <w:pPr>
        <w:spacing w:before="0" w:after="0" w:line="408" w:lineRule="exact"/>
        <w:ind w:left="0" w:right="0" w:firstLine="576"/>
        <w:jc w:val="left"/>
      </w:pPr>
      <w:r>
        <w:rPr/>
        <w:t xml:space="preserve">(b) The costs associated with the department's use of </w:t>
      </w:r>
      <w:r>
        <w:t>((</w:t>
      </w:r>
      <w:r>
        <w:rPr>
          <w:strike/>
        </w:rPr>
        <w:t xml:space="preserve">the</w:t>
      </w:r>
      <w:r>
        <w:t>))</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t xml:space="preserve">(3) Payment of response costs under subsection (2)(a) of this section shall be limited to spills which the director has determined are likely to exceed </w:t>
      </w:r>
      <w:r>
        <w:t>((</w:t>
      </w:r>
      <w:r>
        <w:rPr>
          <w:strike/>
        </w:rPr>
        <w:t xml:space="preserve">fifty</w:t>
      </w:r>
      <w:r>
        <w:t>))</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w:t>
      </w:r>
      <w:r>
        <w:t>((</w:t>
      </w:r>
      <w:r>
        <w:rPr>
          <w:strike/>
        </w:rPr>
        <w:t xml:space="preserve">of crude oil or petroleum products</w:t>
      </w:r>
      <w:r>
        <w:t>))</w:t>
      </w:r>
      <w:r>
        <w:rPr/>
        <w:t xml:space="preserve">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requirements found in RCW 88.46.165, and relying on the "advanced notice of transfer" system used by the department, the department must be provided prior notice before an oil transfer, that is regulated under this chapter and that may impact waters of the state, occurs between a rail facility or another facility or covered vessel. The notice must include the time, location, volume, and type of the oil transfer and the notice requirement must be immediately implemented while the department adopts rules. The department shall adopt rules under this section.</w:t>
      </w:r>
    </w:p>
    <w:p>
      <w:pPr>
        <w:spacing w:before="0" w:after="0" w:line="408" w:lineRule="exact"/>
        <w:ind w:left="0" w:right="0" w:firstLine="576"/>
        <w:jc w:val="left"/>
      </w:pPr>
      <w:r>
        <w:rPr/>
        <w:t xml:space="preserve">(2) Twice per year, pipelines must report to the department the type and volume of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RCW 88.46.165 and other sources of information regarding the transfer of oil and oil products to or from tank vessels. The data must be published on the department's web site. Data collected with respect to oil transportation must be aggregated by county and include county of transfer, volume transferred, type of oil transferred, place of origin, mode of transportation, route taken to the point of transfer, and volume and number of oil spills en route to or during transfer that are reported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place the earliest priority upon updating standards that address the increased volume of different types of crude oil and that address a worst case spill from articulated tug barges and from other towed waterborne vessels or barges.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w:t>
      </w:r>
      <w:r>
        <w:rPr>
          <w:u w:val="single"/>
        </w:rPr>
        <w:t xml:space="preserve">(a) Except as provided in (b) of this subsection, a</w:t>
      </w:r>
      <w:r>
        <w:rPr/>
        <w:t xml:space="preserve">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u w:val="single"/>
        </w:rPr>
        <w:t xml:space="preserve">(b) Any barge that transports more than one million gallons of oil or oil products shall establish evidence of financial responsibility in an amount not less than one hundred million dollars.</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u w:val="single"/>
        </w:rPr>
        <w:t xml:space="preserve">adopt by rule an amount that will be calculated by multiplying the reasonable per barrel cleanup and damage cost of spilled oil, times the worst case spill volume, as measured in barrels, calculated in the applicant's oil spill contingency plan</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u w:val="single"/>
        </w:rPr>
        <w:t xml:space="preserve">(a)</w:t>
      </w:r>
      <w:r>
        <w:rPr/>
        <w:t xml:space="preserve"> Evidence of insurance; </w:t>
      </w:r>
      <w:r>
        <w:t>((</w:t>
      </w:r>
      <w:r>
        <w:rPr>
          <w:strike/>
        </w:rPr>
        <w:t xml:space="preserve">(2)</w:t>
      </w:r>
      <w:r>
        <w:t>))</w:t>
      </w:r>
      <w:r>
        <w:rPr>
          <w:u w:val="single"/>
        </w:rPr>
        <w:t xml:space="preserve">(b)</w:t>
      </w:r>
      <w:r>
        <w:rPr/>
        <w:t xml:space="preserve"> surety bonds; </w:t>
      </w:r>
      <w:r>
        <w:t>((</w:t>
      </w:r>
      <w:r>
        <w:rPr>
          <w:strike/>
        </w:rPr>
        <w:t xml:space="preserve">(3)</w:t>
      </w:r>
      <w:r>
        <w:t>))</w:t>
      </w:r>
      <w:r>
        <w:rPr>
          <w:u w:val="single"/>
        </w:rPr>
        <w:t xml:space="preserve">(c)</w:t>
      </w:r>
      <w:r>
        <w:rPr/>
        <w:t xml:space="preserve"> qualification as a self-insurer; </w:t>
      </w:r>
      <w:r>
        <w:t>((</w:t>
      </w:r>
      <w:r>
        <w:rPr>
          <w:strike/>
        </w:rPr>
        <w:t xml:space="preserve">or (4)</w:t>
      </w:r>
      <w:r>
        <w:t>))</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It is unlawful for any vessel required to have financial responsibility under this chapter to enter or operate on Washington waters without meeting the requirements of this chapter or rules adopted under this chapter, except when necessary to avoid injury to the vessel's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either more than one covered vessel or facility, or both is only required to obtain one certificate of financial responsibility for each vessel and facility owned or operated.</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w:t>
      </w:r>
      <w:r>
        <w:rPr>
          <w:u w:val="single"/>
        </w:rPr>
        <w:t xml:space="preserve">, articulated tug barges, and other towed waterborne vessels or barges</w:t>
      </w:r>
      <w:r>
        <w:rPr/>
        <w:t xml:space="preserve">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w:t>
      </w:r>
      <w:r>
        <w:rPr>
          <w:u w:val="single"/>
        </w:rPr>
        <w:t xml:space="preserve">, articulated tug barges, and other towed waterborne vessels or barges</w:t>
      </w:r>
      <w:r>
        <w:rPr/>
        <w:t xml:space="preserve"> be piloted by highly skilled persons who are familiar with local waters and that such </w:t>
      </w:r>
      <w:r>
        <w:t>((</w:t>
      </w:r>
      <w:r>
        <w:rPr>
          <w:strike/>
        </w:rPr>
        <w:t xml:space="preserve">tankers</w:t>
      </w:r>
      <w:r>
        <w:t>))</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requiring all oil tankers above a certain size</w:t>
      </w:r>
      <w:r>
        <w:rPr>
          <w:u w:val="single"/>
        </w:rPr>
        <w:t xml:space="preserve">, all articulated tug barges, and other towed waterborne vessels or barges</w:t>
      </w:r>
      <w:r>
        <w:rPr/>
        <w:t xml:space="preserve"> to employ licensed pilots </w:t>
      </w:r>
      <w:r>
        <w:t>((</w:t>
      </w:r>
      <w:r>
        <w:rPr>
          <w:strike/>
        </w:rPr>
        <w:t xml:space="preserve">and to be escorted by a</w:t>
      </w:r>
      <w:r>
        <w:t>))</w:t>
      </w:r>
      <w:r>
        <w:rPr>
          <w:u w:val="single"/>
        </w:rPr>
        <w:t xml:space="preserve">,</w:t>
      </w:r>
      <w:r>
        <w:rPr/>
        <w:t xml:space="preserve"> tug </w:t>
      </w:r>
      <w:r>
        <w:t>((</w:t>
      </w:r>
      <w:r>
        <w:rPr>
          <w:strike/>
        </w:rPr>
        <w:t xml:space="preserve">or tugs</w:t>
      </w:r>
      <w:r>
        <w:t>))</w:t>
      </w:r>
      <w:r>
        <w:rPr>
          <w:u w:val="single"/>
        </w:rPr>
        <w:t xml:space="preserve">escorts, and other safety measures</w:t>
      </w:r>
      <w:r>
        <w:rPr/>
        <w:t xml:space="preserve"> while navigating on certain areas of Puget Sound and adjacent waters</w:t>
      </w:r>
      <w:r>
        <w:rPr>
          <w:u w:val="single"/>
        </w:rPr>
        <w:t xml:space="preserve">, and also in Grays Harbor and the Columbia river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u w:val="single"/>
        </w:rPr>
        <w:t xml:space="preserve">Except as provided in subsection (2)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pilotage commission, in consultation with the department of ecology and relying on the results of vessel traffic risk assessments, may write rules to implement this subsection (1)(b). Rules adopted under this subsection (1)(b) must be designed to achieve best achievable protection as defined in RCW 88.46.010. These rules may include tug escort requirements and other safety measures for oil tankers of greater than forty thousand deadweight tons, all articulated tug barges, and other towed waterborne vessels or barges that may apply in the following areas consistent with subsections (2)(a) and (4)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Within three miles of Cape Disappointment at the mouth of the Columbia river;</w:t>
      </w:r>
    </w:p>
    <w:p>
      <w:pPr>
        <w:spacing w:before="0" w:after="0" w:line="408" w:lineRule="exact"/>
        <w:ind w:left="0" w:right="0" w:firstLine="576"/>
        <w:jc w:val="left"/>
      </w:pPr>
      <w:r>
        <w:rPr>
          <w:u w:val="single"/>
        </w:rPr>
        <w:t xml:space="preserve">(iii) Any inland portion of the Columbia river; or</w:t>
      </w:r>
    </w:p>
    <w:p>
      <w:pPr>
        <w:spacing w:before="0" w:after="0" w:line="408" w:lineRule="exact"/>
        <w:ind w:left="0" w:right="0" w:firstLine="576"/>
        <w:jc w:val="left"/>
      </w:pPr>
      <w:r>
        <w:rPr>
          <w:u w:val="single"/>
        </w:rPr>
        <w:t xml:space="preserve">(iv) All other navigable waters of the state.</w:t>
      </w:r>
    </w:p>
    <w:p>
      <w:pPr>
        <w:spacing w:before="0" w:after="0" w:line="408" w:lineRule="exact"/>
        <w:ind w:left="0" w:right="0" w:firstLine="576"/>
        <w:jc w:val="left"/>
      </w:pPr>
      <w:r>
        <w:rPr>
          <w:u w:val="single"/>
        </w:rPr>
        <w:t xml:space="preserve">(c) The pilotage commission, in consultation with the department of ecology and relying on the results of vessel traffic risk assessments, shall adopt rules by June 30, 2017, to implement this subsection (1)(c). Rules adopted under this subsection (1)(c) must be designed to achieve best achievable protection as defined under RCW 88.46.010. These rules may include tug escort requirements and other safety measures for oil tankers of greater than forty thousand deadweight tons, all articulated tug barges, and other towed waterborne vessels or barges and apply in the following areas consistent with subsections (2)(a) and (4) of this section: All narrow channels of the San Juan Islands archipelago, including Rosario Strait, Haro Strait, Boundary Pass, and connected waterways.</w:t>
      </w:r>
    </w:p>
    <w:p>
      <w:pPr>
        <w:spacing w:before="0" w:after="0" w:line="408" w:lineRule="exact"/>
        <w:ind w:left="0" w:right="0" w:firstLine="576"/>
        <w:jc w:val="left"/>
      </w:pPr>
      <w:r>
        <w:rPr>
          <w:u w:val="single"/>
        </w:rPr>
        <w:t xml:space="preserve">(2)(a)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(3) Prior to proceeding with rule making as authorized under subsection (1)(b) and (c) of this section, the commission shall consult with the United States coast guard, the Oregon board of maritime pilots, the Puget Sound, Grays Harbor, and Columbia river harbor safety committees, area tribes, public ports in Oregon and Washington, local governments, and other appropriate entities.</w:t>
      </w:r>
    </w:p>
    <w:p>
      <w:pPr>
        <w:spacing w:before="0" w:after="0" w:line="408" w:lineRule="exact"/>
        <w:ind w:left="0" w:right="0" w:firstLine="576"/>
        <w:jc w:val="left"/>
      </w:pPr>
      <w:r>
        <w:rPr>
          <w:u w:val="single"/>
        </w:rPr>
        <w:t xml:space="preserve">(4)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pilotage commission may adopt rules to ensure that escort tugs have sufficient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(5)(a)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(b) The department of ecology shall develop a voluntary shipping industry best management practices program to be implemented consistently with and in addition to the regulatory requirements of the United States coast guard and any rules adopted pursuant to this section. The department of ecology shall recognize state-of-the-art oil transport safety measures and practices implemented by entities operating vessels transporting oil and oil products as bulk cargo on the state's waters. The department of ecology shall place the earliest priority upon recognizing safety measures for articulated tug barges and other towed waterborne vessels or barges.</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 crude oil or petroleum products at a marine terminal within this state from a waterborne vessel or barge operating on the navigable waters of this state. The tax imposed in this section is levied upon the owner of the crude oil or petroleum products immediately after receipt of the same into the storage tanks of a marine terminal from a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crude oil or petroleum products at a marine terminal within this state from a waterborne vessel or barge operating on the navigable waters of this state. The tax imposed in this section is levied upon the owner of the crude oil or petroleum products immediately after receipt of the same into the storage tanks of a marine terminal from a waterborne vessel or barge at the rate of </w:t>
      </w:r>
      <w:r>
        <w:t>((</w:t>
      </w:r>
      <w:r>
        <w:rPr>
          <w:strike/>
        </w:rPr>
        <w:t xml:space="preserve">four</w:t>
      </w:r>
      <w:r>
        <w:t>))</w:t>
      </w:r>
      <w:r>
        <w:rPr>
          <w:u w:val="single"/>
        </w:rPr>
        <w:t xml:space="preserve">ten</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u w:val="single"/>
        </w:rPr>
        <w:t xml:space="preserve">must</w:t>
      </w:r>
      <w:r>
        <w:rPr/>
        <w:t xml:space="preserve"> be collected by the marine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u w:val="single"/>
        </w:rPr>
        <w:t xml:space="preserve">is</w:t>
      </w:r>
      <w:r>
        <w:rPr/>
        <w:t xml:space="preserve"> personally liable to the state for the amount of the taxes. Payment of the taxes by the owner to a marine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u w:val="single"/>
        </w:rPr>
        <w:t xml:space="preserve">must</w:t>
      </w:r>
      <w:r>
        <w:rPr/>
        <w:t xml:space="preserve"> be stated separately from other charges made by the marine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u w:val="single"/>
        </w:rPr>
        <w:t xml:space="preserve">are</w:t>
      </w:r>
      <w:r>
        <w:rPr/>
        <w:t xml:space="preserve"> due from the marine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10befbcfd6f4e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bfc98f00a04025" /><Relationship Type="http://schemas.openxmlformats.org/officeDocument/2006/relationships/footer" Target="/word/footer.xml" Id="R110befbcfd6f4e13" /></Relationships>
</file>