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d317ebed7b4912" /></Relationships>
</file>

<file path=word/document.xml><?xml version="1.0" encoding="utf-8"?>
<w:document xmlns:w="http://schemas.openxmlformats.org/wordprocessingml/2006/main">
  <w:body>
    <w:p>
      <w:r>
        <w:t>S-1993.1</w:t>
      </w:r>
    </w:p>
    <w:p>
      <w:pPr>
        <w:jc w:val="center"/>
      </w:pPr>
      <w:r>
        <w:t>_______________________________________________</w:t>
      </w:r>
    </w:p>
    <w:p/>
    <w:p>
      <w:pPr>
        <w:jc w:val="center"/>
      </w:pPr>
      <w:r>
        <w:rPr>
          <w:b/>
        </w:rPr>
        <w:t>SUBSTITUTE SENATE BILL 5824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Natural Resources &amp; Parks (originally sponsored by Senator Parlette)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recreational guides; amending RCW 77.15.510, 77.65.010, 77.65.370, 77.65.440, 77.65.480, 77.65.500, and 77.65.560; and adding new sections to chapter 77.65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510</w:t>
      </w:r>
      <w:r>
        <w:rPr/>
        <w:t xml:space="preserve"> and 2009 c 333 s 10 are each amended to read as follows:</w:t>
      </w:r>
    </w:p>
    <w:p>
      <w:pPr>
        <w:spacing w:before="0" w:after="0" w:line="408" w:lineRule="exact"/>
        <w:ind w:left="0" w:right="0" w:firstLine="576"/>
        <w:jc w:val="left"/>
      </w:pPr>
      <w:r>
        <w:rPr/>
        <w:t xml:space="preserve">(1) A person is guilty of acting as a game fish guide, food fish guide, or chartering without a license if:</w:t>
      </w:r>
    </w:p>
    <w:p>
      <w:pPr>
        <w:spacing w:before="0" w:after="0" w:line="408" w:lineRule="exact"/>
        <w:ind w:left="0" w:right="0" w:firstLine="576"/>
        <w:jc w:val="left"/>
      </w:pPr>
      <w:r>
        <w:rPr/>
        <w:t xml:space="preserve">(a) The person operates a charter boat and does not hold the charter boat license required for the food fish taken;</w:t>
      </w:r>
    </w:p>
    <w:p>
      <w:pPr>
        <w:spacing w:before="0" w:after="0" w:line="408" w:lineRule="exact"/>
        <w:ind w:left="0" w:right="0" w:firstLine="576"/>
        <w:jc w:val="left"/>
      </w:pPr>
      <w:r>
        <w:rPr/>
        <w:t xml:space="preserve">(b) The person acts as a food fish guide and does not hold a food fish guide license; or</w:t>
      </w:r>
    </w:p>
    <w:p>
      <w:pPr>
        <w:spacing w:before="0" w:after="0" w:line="408" w:lineRule="exact"/>
        <w:ind w:left="0" w:right="0" w:firstLine="576"/>
        <w:jc w:val="left"/>
      </w:pPr>
      <w:r>
        <w:rPr/>
        <w:t xml:space="preserve">(c) The person acts as a game fish guide and does not hold a game fish guide license.</w:t>
      </w:r>
    </w:p>
    <w:p>
      <w:pPr>
        <w:spacing w:before="0" w:after="0" w:line="408" w:lineRule="exact"/>
        <w:ind w:left="0" w:right="0" w:firstLine="576"/>
        <w:jc w:val="left"/>
      </w:pPr>
      <w:r>
        <w:rPr/>
        <w:t xml:space="preserve">(2) Acting without a game fish guide license, food fish guide license, or charter license is a gross misdemeanor. </w:t>
      </w:r>
      <w:r>
        <w:rPr>
          <w:u w:val="single"/>
        </w:rPr>
        <w:t xml:space="preserve">Upon conviction, the department may deny applications submitted by the person for a game fish guide license, food fish guide license, or charter boat license for up to one year from the date of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In addition to other license suspension provisions provided in this title, the department may suspend a charter boat license, food fish guide license, or game fish guide license if, within a twelve</w:t>
      </w:r>
      <w:r>
        <w:rPr/>
        <w:noBreakHyphen/>
      </w:r>
      <w:r>
        <w:rPr/>
        <w:t xml:space="preserve">month period, a person is convicted of two or more violations of any rule of the commission or director regarding seasons, bag limits, species, size, sex, or other possession restrictions while engaged in charter boat, food fish guide, or game fish guide activities. The department may suspend only the specific type of license or licenses related to the activity or activities for which the person is convicted.</w:t>
      </w:r>
    </w:p>
    <w:p>
      <w:pPr>
        <w:spacing w:before="0" w:after="0" w:line="408" w:lineRule="exact"/>
        <w:ind w:left="0" w:right="0" w:firstLine="576"/>
        <w:jc w:val="left"/>
      </w:pPr>
      <w:r>
        <w:rPr/>
        <w:t xml:space="preserve">(2) A person who has a food fish guide or game fish guide license suspended under this section may file an appeal with the department pursuant to chapter 34.05 RCW. An appeal must be filed within twenty days of notice of license suspension. If a timely appeal is filed, the suspension issued by the department does not take effect until twenty-one days after the department has delivered an opinion affirming the suspension. If no appeal is filed within twenty days of notice of license suspension, the right to an appeal is waived, and the suspension takes effect twenty-one days following the notice of suspension.</w:t>
      </w:r>
    </w:p>
    <w:p>
      <w:pPr>
        <w:spacing w:before="0" w:after="0" w:line="408" w:lineRule="exact"/>
        <w:ind w:left="0" w:right="0" w:firstLine="576"/>
        <w:jc w:val="left"/>
      </w:pPr>
      <w:r>
        <w:rPr/>
        <w:t xml:space="preserve">(3) License suspension under this section is in addition to any statutory penalties assigned to the underlying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2009 c 333 s 7 are each amended to read as follows:</w:t>
      </w:r>
    </w:p>
    <w:p>
      <w:pPr>
        <w:spacing w:before="0" w:after="0" w:line="408" w:lineRule="exact"/>
        <w:ind w:left="0" w:right="0" w:firstLine="576"/>
        <w:jc w:val="left"/>
      </w:pPr>
      <w:r>
        <w:rPr/>
        <w:t xml:space="preserve">(1) Except as otherwise provided by this title, a person must have a license or permit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processing or wholesaling food fish or shellfish; or</w:t>
      </w:r>
    </w:p>
    <w:p>
      <w:pPr>
        <w:spacing w:before="0" w:after="0" w:line="408" w:lineRule="exact"/>
        <w:ind w:left="0" w:right="0" w:firstLine="576"/>
        <w:jc w:val="left"/>
      </w:pPr>
      <w:r>
        <w:rPr/>
        <w:t xml:space="preserve">(e) Act as a food fish guide </w:t>
      </w:r>
      <w:r>
        <w:rPr>
          <w:u w:val="single"/>
        </w:rPr>
        <w:t xml:space="preserve">or game fish guide</w:t>
      </w:r>
      <w:r>
        <w:rPr/>
        <w:t xml:space="preserve"> for personal use </w:t>
      </w:r>
      <w:r>
        <w:t>((</w:t>
      </w:r>
      <w:r>
        <w:rPr>
          <w:strike/>
        </w:rPr>
        <w:t xml:space="preserve">in freshwater rivers and streams</w:t>
      </w:r>
      <w:r>
        <w:t>))</w:t>
      </w:r>
      <w:r>
        <w:rPr/>
        <w:t xml:space="preserv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No person may engage in the activities described in subsection (1) of this section unless the licenses or permits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or permit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or permit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2013 c 314 s 3 are each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w:t>
      </w:r>
      <w:r>
        <w:t>((</w:t>
      </w:r>
      <w:r>
        <w:rPr>
          <w:strike/>
        </w:rPr>
        <w:t xml:space="preserve">in freshwater rivers and streams</w:t>
      </w:r>
      <w:r>
        <w:t>))</w:t>
      </w:r>
      <w:r>
        <w:rPr/>
        <w:t xml:space="preserv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w:t>
      </w:r>
      <w:r>
        <w:rPr>
          <w:u w:val="single"/>
        </w:rPr>
        <w:t xml:space="preserve">A person shall not offer or perform the services of a game fish guide without a game fish guide license in the taking of game fish for personal use.</w:t>
      </w:r>
    </w:p>
    <w:p>
      <w:pPr>
        <w:spacing w:before="0" w:after="0" w:line="408" w:lineRule="exact"/>
        <w:ind w:left="0" w:right="0" w:firstLine="576"/>
        <w:jc w:val="left"/>
      </w:pPr>
      <w:r>
        <w:rPr>
          <w:u w:val="single"/>
        </w:rPr>
        <w:t xml:space="preserve">(3)</w:t>
      </w:r>
      <w:r>
        <w:rPr/>
        <w:t xml:space="preserve"> Only an individual at least sixteen years of age may hold a food fish guide </w:t>
      </w:r>
      <w:r>
        <w:rPr>
          <w:u w:val="single"/>
        </w:rPr>
        <w:t xml:space="preserve">or game fish guide</w:t>
      </w:r>
      <w:r>
        <w:rPr/>
        <w:t xml:space="preserve"> license. No individual may hold more than one food fish guide </w:t>
      </w:r>
      <w:r>
        <w:rPr>
          <w:u w:val="single"/>
        </w:rPr>
        <w:t xml:space="preserve">or game fish guide</w:t>
      </w:r>
      <w:r>
        <w:rPr/>
        <w:t xml:space="preserve"> license.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application for a food fish guide </w:t>
      </w:r>
      <w:r>
        <w:rPr>
          <w:u w:val="single"/>
        </w:rPr>
        <w:t xml:space="preserve">or game fish guide</w:t>
      </w:r>
      <w:r>
        <w:rPr/>
        <w:t xml:space="preserve"> license must include the information required in RCW 77.65.560.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The department must issue an identifying decal to all food fish guides, game fish guides, and charter boat operators licensed under RCW 77.65.010. The identifying decal must display the license number prominently.</w:t>
      </w:r>
    </w:p>
    <w:p>
      <w:pPr>
        <w:spacing w:before="0" w:after="0" w:line="408" w:lineRule="exact"/>
        <w:ind w:left="0" w:right="0" w:firstLine="576"/>
        <w:jc w:val="left"/>
      </w:pPr>
      <w:r>
        <w:rPr/>
        <w:t xml:space="preserve">(2) Any person who acts or offers to act as a food fish guide, game fish guide, or charter boat operator must display the identifying decal on vessels in a location easily visible to customers and adjacent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940"/>
        <w:gridCol w:w="8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7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8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9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8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rPr>
                <w:rFonts w:ascii="Times New Roman" w:hAnsi="Times New Roman"/>
                <w:sz w:val="16"/>
              </w:rPr>
              <w:t xml:space="preserve">$  35</w:t>
            </w:r>
          </w:p>
        </w:tc>
        <w:tc>
          <w:tcPr>
            <w:tcW w:w="940" w:type="dxa"/>
            <w:vAlign w:val="top"/>
          </w:tcPr>
          <w:p>
            <w:pPr>
              <w:spacing w:before="0" w:after="0" w:line="408" w:lineRule="exact"/>
              <w:ind w:left="0" w:right="0" w:firstLine="0"/>
              <w:jc w:val="center"/>
            </w:pPr>
            <w:r>
              <w:rPr>
                <w:rFonts w:ascii="Times New Roman" w:hAnsi="Times New Roman"/>
                <w:sz w:val="16"/>
              </w:rPr>
              <w:t xml:space="preserve">$  35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rPr>
                <w:rFonts w:ascii="Times New Roman" w:hAnsi="Times New Roman"/>
                <w:sz w:val="16"/>
              </w:rPr>
              <w:t xml:space="preserve">$185</w:t>
            </w:r>
          </w:p>
        </w:tc>
        <w:tc>
          <w:tcPr>
            <w:tcW w:w="940" w:type="dxa"/>
            <w:vAlign w:val="top"/>
          </w:tcPr>
          <w:p>
            <w:pPr>
              <w:spacing w:before="0" w:after="0" w:line="408" w:lineRule="exact"/>
              <w:ind w:left="0" w:right="0" w:firstLine="0"/>
              <w:jc w:val="center"/>
            </w:pPr>
            <w:r>
              <w:rPr>
                <w:rFonts w:ascii="Times New Roman" w:hAnsi="Times New Roman"/>
                <w:sz w:val="16"/>
              </w:rPr>
              <w:t xml:space="preserve">$295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rPr>
                <w:rFonts w:ascii="Times New Roman" w:hAnsi="Times New Roman"/>
                <w:sz w:val="16"/>
              </w:rPr>
              <w:t xml:space="preserve">$130</w:t>
            </w:r>
          </w:p>
        </w:tc>
        <w:tc>
          <w:tcPr>
            <w:tcW w:w="940" w:type="dxa"/>
            <w:vAlign w:val="top"/>
          </w:tcPr>
          <w:p>
            <w:pPr>
              <w:spacing w:before="0" w:after="0" w:line="408" w:lineRule="exact"/>
              <w:ind w:left="0" w:right="0" w:firstLine="0"/>
              <w:jc w:val="center"/>
            </w:pPr>
            <w:r>
              <w:rPr>
                <w:rFonts w:ascii="Times New Roman" w:hAnsi="Times New Roman"/>
                <w:sz w:val="16"/>
              </w:rPr>
              <w:t xml:space="preserve">$630</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w:t>
            </w:r>
          </w:p>
          <w:p>
            <w:pPr>
              <w:spacing w:before="0" w:after="0" w:line="408" w:lineRule="exact"/>
              <w:ind w:left="0" w:right="0" w:firstLine="0"/>
              <w:jc w:val="left"/>
            </w:pPr>
            <w:r>
              <w:rPr>
                <w:rFonts w:ascii="Times New Roman" w:hAnsi="Times New Roman"/>
                <w:sz w:val="16"/>
              </w:rPr>
              <w:t xml:space="preserve">$ 20)</w:t>
            </w:r>
          </w:p>
        </w:tc>
        <w:tc>
          <w:tcPr>
            <w:tcW w:w="9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8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r>
        <w:tc>
          <w:tcPr>
            <w:tcW w:w="1200" w:type="dxa"/>
            <w:vAlign w:val="top"/>
          </w:tcPr>
          <w:p>
            <w:pPr>
              <w:spacing w:before="0" w:after="0" w:line="408" w:lineRule="exact"/>
              <w:ind w:left="0" w:right="0" w:firstLine="0"/>
              <w:jc w:val="left"/>
            </w:pPr>
            <w:r>
              <w:rPr>
                <w:rFonts w:ascii="Times New Roman" w:hAnsi="Times New Roman"/>
                <w:sz w:val="16"/>
                <w:u w:val="single"/>
              </w:rPr>
              <w:t xml:space="preserve">(4) Game Fish Guide</w:t>
            </w:r>
          </w:p>
        </w:tc>
        <w:tc>
          <w:tcPr>
            <w:tcW w:w="200" w:type="dxa"/>
            <w:vAlign w:val="top"/>
          </w:tcPr>
          <w:p>
            <w:pPr>
              <w:spacing w:before="0" w:after="0" w:line="408" w:lineRule="exact"/>
              <w:ind w:left="0" w:right="0" w:firstLine="0"/>
              <w:jc w:val="left"/>
            </w:pPr>
          </w:p>
        </w:tc>
        <w:tc>
          <w:tcPr>
            <w:tcW w:w="600" w:type="dxa"/>
            <w:vAlign w:val="top"/>
          </w:tcPr>
          <w:p>
            <w:pPr>
              <w:spacing w:before="0" w:after="0" w:line="408" w:lineRule="exact"/>
              <w:ind w:left="0" w:right="0" w:firstLine="0"/>
              <w:jc w:val="left"/>
            </w:pPr>
            <w:r>
              <w:rPr>
                <w:rFonts w:ascii="Times New Roman" w:hAnsi="Times New Roman"/>
                <w:sz w:val="16"/>
                <w:u w:val="single"/>
              </w:rPr>
              <w:t xml:space="preserve">$180</w:t>
            </w:r>
          </w:p>
        </w:tc>
        <w:tc>
          <w:tcPr>
            <w:tcW w:w="940" w:type="dxa"/>
            <w:vAlign w:val="top"/>
          </w:tcPr>
          <w:p>
            <w:pPr>
              <w:spacing w:before="0" w:after="0" w:line="408" w:lineRule="exact"/>
              <w:ind w:left="0" w:right="0" w:firstLine="0"/>
              <w:jc w:val="center"/>
            </w:pPr>
            <w:r>
              <w:rPr>
                <w:rFonts w:ascii="Times New Roman" w:hAnsi="Times New Roman"/>
                <w:sz w:val="16"/>
                <w:u w:val="single"/>
              </w:rPr>
              <w:t xml:space="preserve">$600</w:t>
            </w:r>
          </w:p>
        </w:tc>
        <w:tc>
          <w:tcPr>
            <w:tcW w:w="800" w:type="dxa"/>
            <w:vAlign w:val="top"/>
          </w:tcPr>
          <w:p>
            <w:pPr>
              <w:spacing w:before="0" w:after="0" w:line="408" w:lineRule="exact"/>
              <w:ind w:left="0" w:right="0" w:firstLine="0"/>
              <w:jc w:val="center"/>
            </w:pPr>
            <w:r>
              <w:rPr>
                <w:rFonts w:ascii="Times New Roman" w:hAnsi="Times New Roman"/>
                <w:sz w:val="16"/>
                <w:u w:val="single"/>
              </w:rPr>
              <w:t xml:space="preserve">$ 70</w:t>
            </w:r>
          </w:p>
        </w:tc>
        <w:tc>
          <w:tcPr>
            <w:tcW w:w="1120" w:type="dxa"/>
            <w:vAlign w:val="top"/>
          </w:tcPr>
          <w:p>
            <w:pPr>
              <w:spacing w:before="0" w:after="0" w:line="408" w:lineRule="exact"/>
              <w:ind w:left="0" w:right="0" w:firstLine="0"/>
              <w:jc w:val="left"/>
            </w:pPr>
            <w:r>
              <w:rPr>
                <w:rFonts w:ascii="Times New Roman" w:hAnsi="Times New Roman"/>
                <w:sz w:val="16"/>
                <w:u w:val="single"/>
              </w:rPr>
              <w:t xml:space="preserve">RCW 77.65.370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 fish guide combination license allows the holder to offer or perform the services of a food fish guide, game fish guide, salmon charter boat operator, and nonsalmon charter boat operator.</w:t>
      </w:r>
    </w:p>
    <w:p>
      <w:pPr>
        <w:spacing w:before="0" w:after="0" w:line="408" w:lineRule="exact"/>
        <w:ind w:left="0" w:right="0" w:firstLine="576"/>
        <w:jc w:val="left"/>
      </w:pPr>
      <w:r>
        <w:rPr/>
        <w:t xml:space="preserve">(2) The commission must adopt rules to create and sell a fish guide combination license. The commission may adopt rules to create and sell separate combination licenses, one for food fish and game fish guide activities only and another combination license for all food fish guide, game fish guide, salmon charter boat operator, and nonsalmon charter boat operator activities. The cost of the fish guide combination license or licenses must be below a fee equal to the total cost of the individual licenses contained within the combination.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2013 c 314 s 2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 </w:t>
      </w:r>
      <w:r>
        <w:t>((</w:t>
      </w:r>
      <w:r>
        <w:rPr>
          <w:strike/>
        </w:rPr>
        <w:t xml:space="preserve">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strike/>
        </w:rPr>
        <w:t xml:space="preserve">(4)</w:t>
      </w:r>
      <w:r>
        <w:t>))</w:t>
      </w:r>
      <w:r>
        <w:rPr/>
        <w:t xml:space="preserve">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500</w:t>
      </w:r>
      <w:r>
        <w:rPr/>
        <w:t xml:space="preserve"> and 1987 c 506 s 84 are each amended to read as follows:</w:t>
      </w:r>
    </w:p>
    <w:p>
      <w:pPr>
        <w:spacing w:before="0" w:after="0" w:line="408" w:lineRule="exact"/>
        <w:ind w:left="0" w:right="0" w:firstLine="576"/>
        <w:jc w:val="left"/>
      </w:pPr>
      <w:r>
        <w:rPr/>
        <w:t xml:space="preserve">Licensed taxidermists, fur dealers, anadromous game fish buyers, </w:t>
      </w:r>
      <w:r>
        <w:t>((</w:t>
      </w:r>
      <w:r>
        <w:rPr>
          <w:strike/>
        </w:rPr>
        <w:t xml:space="preserve">fishing guides,</w:t>
      </w:r>
      <w:r>
        <w:t>))</w:t>
      </w:r>
      <w:r>
        <w:rPr/>
        <w:t xml:space="preserve"> game farmers, and persons stocking game fish or conducting a hunting, fishing, or field trial contest shall make reports as required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560</w:t>
      </w:r>
      <w:r>
        <w:rPr/>
        <w:t xml:space="preserve"> and 2013 c 314 s 1 are each amended to read as follows:</w:t>
      </w:r>
    </w:p>
    <w:p>
      <w:pPr>
        <w:spacing w:before="0" w:after="0" w:line="408" w:lineRule="exact"/>
        <w:ind w:left="0" w:right="0" w:firstLine="576"/>
        <w:jc w:val="left"/>
      </w:pPr>
      <w:r>
        <w:rPr/>
        <w:t xml:space="preserve">(1) Any application for a food fish guide license </w:t>
      </w:r>
      <w:r>
        <w:t>((</w:t>
      </w:r>
      <w:r>
        <w:rPr>
          <w:strike/>
        </w:rPr>
        <w:t xml:space="preserve">under RCW 77.65.370</w:t>
      </w:r>
      <w:r>
        <w:t>))</w:t>
      </w:r>
      <w:r>
        <w:rPr/>
        <w:t xml:space="preserve"> or game fish guide license under RCW 77.65.480 must include:</w:t>
      </w:r>
    </w:p>
    <w:p>
      <w:pPr>
        <w:spacing w:before="0" w:after="0" w:line="408" w:lineRule="exact"/>
        <w:ind w:left="0" w:right="0" w:firstLine="576"/>
        <w:jc w:val="left"/>
      </w:pPr>
      <w:r>
        <w:rPr/>
        <w:t xml:space="preserve">(a) The applicant's driver's license or other government-issued identification card number and the jurisdiction of issuance;</w:t>
      </w:r>
    </w:p>
    <w:p>
      <w:pPr>
        <w:spacing w:before="0" w:after="0" w:line="408" w:lineRule="exact"/>
        <w:ind w:left="0" w:right="0" w:firstLine="576"/>
        <w:jc w:val="left"/>
      </w:pPr>
      <w:r>
        <w:rPr/>
        <w:t xml:space="preserve">(b) The applicant's unified business identifier number under a </w:t>
      </w:r>
      <w:r>
        <w:t>((</w:t>
      </w:r>
      <w:r>
        <w:rPr>
          <w:strike/>
        </w:rPr>
        <w:t xml:space="preserve">master</w:t>
      </w:r>
      <w:r>
        <w:t>))</w:t>
      </w:r>
      <w:r>
        <w:rPr/>
        <w:t xml:space="preserve"> </w:t>
      </w:r>
      <w:r>
        <w:rPr>
          <w:u w:val="single"/>
        </w:rPr>
        <w:t xml:space="preserve">business</w:t>
      </w:r>
      <w:r>
        <w:rPr/>
        <w:t xml:space="preserve"> license issued under RCW 19.02.070;</w:t>
      </w:r>
    </w:p>
    <w:p>
      <w:pPr>
        <w:spacing w:before="0" w:after="0" w:line="408" w:lineRule="exact"/>
        <w:ind w:left="0" w:right="0" w:firstLine="576"/>
        <w:jc w:val="left"/>
      </w:pPr>
      <w:r>
        <w:rPr/>
        <w:t xml:space="preserve">(c) Proof of current certification in first aid and cardiopulmonary resuscitation;</w:t>
      </w:r>
    </w:p>
    <w:p>
      <w:pPr>
        <w:spacing w:before="0" w:after="0" w:line="408" w:lineRule="exact"/>
        <w:ind w:left="0" w:right="0" w:firstLine="576"/>
        <w:jc w:val="left"/>
      </w:pPr>
      <w:r>
        <w:rPr/>
        <w:t xml:space="preserve">(d) A certificate of insurance demonstrating that the applicant has commercial liability coverage of at least three hundred thousand dollars; </w:t>
      </w:r>
      <w:r>
        <w:t>((</w:t>
      </w:r>
      <w:r>
        <w:rPr>
          <w:strike/>
        </w:rPr>
        <w:t xml:space="preserve">and</w:t>
      </w:r>
      <w:r>
        <w:t>))</w:t>
      </w:r>
    </w:p>
    <w:p>
      <w:pPr>
        <w:spacing w:before="0" w:after="0" w:line="408" w:lineRule="exact"/>
        <w:ind w:left="0" w:right="0" w:firstLine="576"/>
        <w:jc w:val="left"/>
      </w:pPr>
      <w:r>
        <w:rPr/>
        <w:t xml:space="preserve">(e) If applicable, an original or notarized copy of a valid license issued by the United States coast guard to the applicant that authorizes the holder to carry passengers for hire</w:t>
      </w:r>
      <w:r>
        <w:rPr>
          <w:u w:val="single"/>
        </w:rPr>
        <w:t xml:space="preserve">; and</w:t>
      </w:r>
    </w:p>
    <w:p>
      <w:pPr>
        <w:spacing w:before="0" w:after="0" w:line="408" w:lineRule="exact"/>
        <w:ind w:left="0" w:right="0" w:firstLine="576"/>
        <w:jc w:val="left"/>
      </w:pPr>
      <w:r>
        <w:rPr>
          <w:u w:val="single"/>
        </w:rPr>
        <w:t xml:space="preserve">(f) A sworn declaration requiring the applicant to certify whether the area of operations will include federally recognized navigable waters with a motorized vessel</w:t>
      </w:r>
      <w:r>
        <w:rPr/>
        <w:t xml:space="preserve">.</w:t>
      </w:r>
    </w:p>
    <w:p>
      <w:pPr>
        <w:spacing w:before="0" w:after="0" w:line="408" w:lineRule="exact"/>
        <w:ind w:left="0" w:right="0" w:firstLine="576"/>
        <w:jc w:val="left"/>
      </w:pPr>
      <w:r>
        <w:rPr/>
        <w:t xml:space="preserve">(2) The requirements of this section related to licensure by the United States coast guard apply only to applicants intending to carry passengers for hire with a motorized vessel on federally recognized navigable waters. The license issued by the United States coast guard must be valid in the waters where the game fish guide or food fish guide license applicant will be carrying passengers for hire in a motorized vessel.</w:t>
      </w:r>
    </w:p>
    <w:p>
      <w:pPr>
        <w:spacing w:before="0" w:after="0" w:line="408" w:lineRule="exact"/>
        <w:ind w:left="0" w:right="0" w:firstLine="576"/>
        <w:jc w:val="left"/>
      </w:pPr>
      <w:r>
        <w:rPr/>
        <w:t xml:space="preserve">(3) The requirements in this section are in addition to the requirements of RCW 77.65.050.</w:t>
      </w:r>
    </w:p>
    <w:p/>
    <w:p>
      <w:pPr>
        <w:jc w:val="center"/>
      </w:pPr>
      <w:r>
        <w:rPr>
          <w:b/>
        </w:rPr>
        <w:t>--- END ---</w:t>
      </w:r>
    </w:p>
    <w:sectPr>
      <w:pgNumType w:start="1"/>
      <w:footerReference xmlns:r="http://schemas.openxmlformats.org/officeDocument/2006/relationships" r:id="Rf6d29d45d47442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630bf762f74029" /><Relationship Type="http://schemas.openxmlformats.org/officeDocument/2006/relationships/footer" Target="/word/footer.xml" Id="Rf6d29d45d474427f" /></Relationships>
</file>