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db646656524000" /></Relationships>
</file>

<file path=word/document.xml><?xml version="1.0" encoding="utf-8"?>
<w:document xmlns:w="http://schemas.openxmlformats.org/wordprocessingml/2006/main">
  <w:body>
    <w:p>
      <w:r>
        <w:t>S-1973.2</w:t>
      </w:r>
    </w:p>
    <w:p>
      <w:pPr>
        <w:jc w:val="center"/>
      </w:pPr>
      <w:r>
        <w:t>_______________________________________________</w:t>
      </w:r>
    </w:p>
    <w:p/>
    <w:p>
      <w:pPr>
        <w:jc w:val="center"/>
      </w:pPr>
      <w:r>
        <w:rPr>
          <w:b/>
        </w:rPr>
        <w:t>SUBSTITUTE SENATE BILL 5823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Law &amp; Justice (originally sponsored by Senators Rivers and Litzow)</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guardians ad litem; and amending RCW 26.12.177.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12</w:t>
      </w:r>
      <w:r>
        <w:rPr/>
        <w:t xml:space="preserve">.</w:t>
      </w:r>
      <w:r>
        <w:t xml:space="preserve">177</w:t>
      </w:r>
      <w:r>
        <w:rPr/>
        <w:t xml:space="preserve"> and 2011 c 292 s 7 are each amended to read as follows:</w:t>
      </w:r>
    </w:p>
    <w:p>
      <w:pPr>
        <w:spacing w:before="0" w:after="0" w:line="408" w:lineRule="exact"/>
        <w:ind w:left="0" w:right="0" w:firstLine="576"/>
        <w:jc w:val="left"/>
      </w:pPr>
      <w:r>
        <w:rPr/>
        <w:t xml:space="preserve">(1) All guardians ad litem appointed under this title must comply with the training requirements established under RCW 2.56.030(15), prior to their appointment in cases under Title 26 RCW, except that volunteer guardians ad litem or court-appointed special advocates may comply with alternative training requirements approved by the administrative office of the courts that meet or exceed the statewide requirements. In cases involving allegations of limiting factors under RCW 26.09.191, the guardians ad litem appointed under this title must have additional relevant training under RCW 2.56.030(15) when it is available.</w:t>
      </w:r>
    </w:p>
    <w:p>
      <w:pPr>
        <w:spacing w:before="0" w:after="0" w:line="408" w:lineRule="exact"/>
        <w:ind w:left="0" w:right="0" w:firstLine="576"/>
        <w:jc w:val="left"/>
      </w:pPr>
      <w:r>
        <w:rPr/>
        <w:t xml:space="preserve">(2)(a) Each guardian ad litem program for compensated guardians ad litem shall establish a rotational registry system for the appointment of guardians ad litem under this title. If a judicial district does not have a program the court shall establish the rotational registry system. Guardians ad litem under this title shall be selected from the registry except in exceptional circumstances as determined and documented by the court. The parties may make a joint recommendation for the appointment of a guardian ad litem from the registry.</w:t>
      </w:r>
    </w:p>
    <w:p>
      <w:pPr>
        <w:spacing w:before="0" w:after="0" w:line="408" w:lineRule="exact"/>
        <w:ind w:left="0" w:right="0" w:firstLine="576"/>
        <w:jc w:val="left"/>
      </w:pPr>
      <w:r>
        <w:rPr/>
        <w:t xml:space="preserve">(b) In judicial districts with a population over one hundred thousand, a list of three names shall be selected from the registry and given to the parties along with the background information record as specified in RCW 26.12.175(3), including their hourly rate for services. Each party may, within three judicial days, strike one name from the list. If more than one name remains on the list, the court shall make the appointment from the names on the list. In the event all three names are stricken the person whose name appears next on the registry shall be appointed.</w:t>
      </w:r>
    </w:p>
    <w:p>
      <w:pPr>
        <w:spacing w:before="0" w:after="0" w:line="408" w:lineRule="exact"/>
        <w:ind w:left="0" w:right="0" w:firstLine="576"/>
        <w:jc w:val="left"/>
      </w:pPr>
      <w:r>
        <w:rPr/>
        <w:t xml:space="preserve">(c) If a party reasonably believes that the appointed guardian ad litem is inappropriate or unqualified, charges an hourly rate higher than what is reasonable for the particular proceeding, or has a conflict of interest, the party may, within three judicial days from the appointment, move for substitution of the appointed guardian ad litem by filing a motion with the court. </w:t>
      </w:r>
      <w:r>
        <w:rPr>
          <w:u w:val="single"/>
        </w:rPr>
        <w:t xml:space="preserve">Guardians ad litem must notify each party and court of any conflicts of interest prior to accepting appointment.</w:t>
      </w:r>
    </w:p>
    <w:p>
      <w:pPr>
        <w:spacing w:before="0" w:after="0" w:line="408" w:lineRule="exact"/>
        <w:ind w:left="0" w:right="0" w:firstLine="576"/>
        <w:jc w:val="left"/>
      </w:pPr>
      <w:r>
        <w:rPr/>
        <w:t xml:space="preserve">(d) Under this section, within either registry referred to in (a) of this subsection, a subregistry may be created that consists of guardians ad litem under contract with the department of social and health services' division of child support. Guardians ad litem on such a subregistry shall be selected and appointed in state-initiated paternity cases only. </w:t>
      </w:r>
      <w:r>
        <w:rPr>
          <w:u w:val="single"/>
        </w:rPr>
        <w:t xml:space="preserve">Guardians ad litem must notify each party and court of any conflicts of interest prior to accepting appointment.</w:t>
      </w:r>
    </w:p>
    <w:p>
      <w:pPr>
        <w:spacing w:before="0" w:after="0" w:line="408" w:lineRule="exact"/>
        <w:ind w:left="0" w:right="0" w:firstLine="576"/>
        <w:jc w:val="left"/>
      </w:pPr>
      <w:r>
        <w:rPr/>
        <w:t xml:space="preserve">(e) The superior court shall remove any person from the guardian ad litem registry who has been found to have misrepresented his or her qualifications.</w:t>
      </w:r>
    </w:p>
    <w:p>
      <w:pPr>
        <w:spacing w:before="0" w:after="0" w:line="408" w:lineRule="exact"/>
        <w:ind w:left="0" w:right="0" w:firstLine="576"/>
        <w:jc w:val="left"/>
      </w:pPr>
      <w:r>
        <w:rPr/>
        <w:t xml:space="preserve">(3) The rotational registry system shall not apply to court-appointed special advocate programs.</w:t>
      </w:r>
    </w:p>
    <w:p/>
    <w:p>
      <w:pPr>
        <w:jc w:val="center"/>
      </w:pPr>
      <w:r>
        <w:rPr>
          <w:b/>
        </w:rPr>
        <w:t>--- END ---</w:t>
      </w:r>
    </w:p>
    <w:sectPr>
      <w:pgNumType w:start="1"/>
      <w:footerReference xmlns:r="http://schemas.openxmlformats.org/officeDocument/2006/relationships" r:id="R3244200bae964da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dd388c214a44ef" /><Relationship Type="http://schemas.openxmlformats.org/officeDocument/2006/relationships/footer" Target="/word/footer.xml" Id="R3244200bae964da0" /></Relationships>
</file>