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3b7e3007549fe" /></Relationships>
</file>

<file path=word/document.xml><?xml version="1.0" encoding="utf-8"?>
<w:document xmlns:w="http://schemas.openxmlformats.org/wordprocessingml/2006/main">
  <w:body>
    <w:p>
      <w:r>
        <w:t>S-1227.1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5800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Pearson</w:t>
      </w:r>
    </w:p>
    <w:p/>
    <w:p>
      <w:r>
        <w:rPr>
          <w:t xml:space="preserve">Read first time 02/03/15.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gambling devices; and amending RCW 9.46.310.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46</w:t>
      </w:r>
      <w:r>
        <w:rPr/>
        <w:t xml:space="preserve">.</w:t>
      </w:r>
      <w:r>
        <w:t xml:space="preserve">310</w:t>
      </w:r>
      <w:r>
        <w:rPr/>
        <w:t xml:space="preserve"> and 1981 c 139 s 13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No person shall manufacture, and no person shall sell, distribute, furnish or supply to any other person, any gambling device, including but not limited to punchboards and pull-tabs, in this state, or for use within this state, without first obtaining a license to do so from the commission under the provisions of this chapter.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Such licenses shall not be issued by the commission except respecting devices which are designed and permitted for use in connection with activities authorized under this chapter: PROVIDED, That this requirement for licensure shall apply only insofar as the commission has adopted, or may adopt, rules implementing it as to particular categories of gambling devices and related equipment.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A business may possess gambling devices or components of authorized gambling devices without first obtaining a license if the business registers with the commission. Possession of gambling devices or components of gambling devices is allowed only when: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The devices and components are: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Inspected and approved by the commission;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Not available to the general public;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Accessible only to employees of the business;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Possessed only in locations approved by the commission;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(v) Not used for gambling purposes;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The business is in compliance with any commission rules adopted under this chapter and has paid any inspection fees as required by the commission.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11316c1fa3048e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5800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eac9d15ea413b" /><Relationship Type="http://schemas.openxmlformats.org/officeDocument/2006/relationships/footer" Target="/word/footer.xml" Id="R211316c1fa3048e2" /></Relationships>
</file>