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0c0be6d3b9451b" /></Relationships>
</file>

<file path=word/document.xml><?xml version="1.0" encoding="utf-8"?>
<w:document xmlns:w="http://schemas.openxmlformats.org/wordprocessingml/2006/main">
  <w:body>
    <w:p>
      <w:r>
        <w:t>S-1181.1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5764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Fain, King, Hill, Rivers, and Benton</w:t>
      </w:r>
    </w:p>
    <w:p/>
    <w:p>
      <w:r>
        <w:rPr>
          <w:t xml:space="preserve">Read first time 02/02/15.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removal of graffiti from state-owned transportation facilities; and adding a new section to chapter 47.01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01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must remove graffiti from all state</w:t>
      </w:r>
      <w:r>
        <w:rPr/>
        <w:noBreakHyphen/>
      </w:r>
      <w:r>
        <w:rPr/>
        <w:t xml:space="preserve">owned transportation facilities within twenty-four hours of the graffiti being reported to the department.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9c8dc201f8bf4d4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5764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e9cdcc384039" /><Relationship Type="http://schemas.openxmlformats.org/officeDocument/2006/relationships/footer" Target="/word/footer.xml" Id="R9c8dc201f8bf4d4c" /></Relationships>
</file>