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78894f8b34826" /></Relationships>
</file>

<file path=word/document.xml><?xml version="1.0" encoding="utf-8"?>
<w:document xmlns:w="http://schemas.openxmlformats.org/wordprocessingml/2006/main">
  <w:body>
    <w:p>
      <w:r>
        <w:t>S-2262.1</w:t>
      </w:r>
    </w:p>
    <w:p>
      <w:pPr>
        <w:jc w:val="center"/>
      </w:pPr>
      <w:r>
        <w:t>_______________________________________________</w:t>
      </w:r>
    </w:p>
    <w:p/>
    <w:p>
      <w:pPr>
        <w:jc w:val="center"/>
      </w:pPr>
      <w:r>
        <w:rPr>
          <w:b/>
        </w:rPr>
        <w:t>SUBSTITUTE SENATE BILL 5752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Hasegawa, Darneille, Kohl-Welles, Jayapal, Chase,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concerning racial disproportionality; adding a new section to chapter 43.88C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safety, and productivity of all communities is of the utmost importance to the state of Washington, including historically marginalized racial and ethnic communities. All citizens are harmed by unintended racial and ethnic disparities created by legislation. Therefore, the legislature intends to create a proactive tool intended to provide legislators with aggregated and disaggregated demographical data and other information to help legislators understand possible disparate racial and ethnic impacts, and thus better informed and intentional decisions on legislative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88C</w:t>
      </w:r>
      <w:r>
        <w:rPr/>
        <w:t xml:space="preserve"> RCW</w:t>
      </w:r>
      <w:r>
        <w:rPr/>
        <w:t xml:space="preserve"> to read as follows:</w:t>
      </w:r>
    </w:p>
    <w:p>
      <w:pPr>
        <w:spacing w:before="0" w:after="0" w:line="408" w:lineRule="exact"/>
        <w:ind w:left="0" w:right="0" w:firstLine="576"/>
        <w:jc w:val="left"/>
      </w:pPr>
      <w:r>
        <w:rPr/>
        <w:t xml:space="preserve">(1)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 The caseload forecast council must submit a report to the governor and appropriate committees of the legislature on or before December 31, 2015, outlining recommendations for procedures and tools necessary to provide racial and ethnic impact statements to criminal justice, human services, and education caseloads.</w:t>
      </w:r>
    </w:p>
    <w:p>
      <w:pPr>
        <w:spacing w:before="0" w:after="0" w:line="408" w:lineRule="exact"/>
        <w:ind w:left="0" w:right="0" w:firstLine="576"/>
        <w:jc w:val="left"/>
      </w:pPr>
      <w:r>
        <w:rPr/>
        <w:t xml:space="preserve">(2) As used in this section, "community" means a group of people who share some or all of the following characteristics: Geographic boundaries, sense of membership, culture, language, or common norms and interests. Community includes, but is not limited to, populations distinguished by their special education status, sexual orientation, ethnicity, primary language, or race.</w:t>
      </w:r>
    </w:p>
    <w:p/>
    <w:p>
      <w:pPr>
        <w:jc w:val="center"/>
      </w:pPr>
      <w:r>
        <w:rPr>
          <w:b/>
        </w:rPr>
        <w:t>--- END ---</w:t>
      </w:r>
    </w:p>
    <w:sectPr>
      <w:pgNumType w:start="1"/>
      <w:footerReference xmlns:r="http://schemas.openxmlformats.org/officeDocument/2006/relationships" r:id="R5fc7704768f647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b2d08d4a054ee8" /><Relationship Type="http://schemas.openxmlformats.org/officeDocument/2006/relationships/footer" Target="/word/footer.xml" Id="R5fc7704768f647b4" /></Relationships>
</file>