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937970f24f400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Fain, Hobbs, Benton, Mullet, and Angel)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producers, insurers, and title insurance agents activities with customers and potential customers; amending RCW 48.30.140 and 48.30.150; and adding new sections to chapter 48.30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2009 c 329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w:t>
      </w:r>
      <w:r>
        <w:t>((</w:t>
      </w:r>
      <w:r>
        <w:rPr>
          <w:strike/>
        </w:rPr>
        <w:t xml:space="preserve">,</w:t>
      </w:r>
      <w:r>
        <w:t>))</w:t>
      </w:r>
      <w:r>
        <w:rPr/>
        <w:t xml:space="preserve"> </w:t>
      </w:r>
      <w:r>
        <w:rPr>
          <w:u w:val="single"/>
        </w:rPr>
        <w:t xml:space="preserve">or</w:t>
      </w:r>
      <w:r>
        <w:rPr/>
        <w:t xml:space="preserve"> insurance producers</w:t>
      </w:r>
      <w:r>
        <w:t>((</w:t>
      </w:r>
      <w:r>
        <w:rPr>
          <w:strike/>
        </w:rPr>
        <w:t xml:space="preserve">, or title insurance agents</w:t>
      </w:r>
      <w:r>
        <w:t>))</w:t>
      </w:r>
      <w:r>
        <w:rPr/>
        <w:t xml:space="preserve"> whereby prizes, goods, wares, </w:t>
      </w:r>
      <w:r>
        <w:rPr>
          <w:u w:val="single"/>
        </w:rPr>
        <w:t xml:space="preserve">gift cards, gift certificates,</w:t>
      </w:r>
      <w:r>
        <w:rPr/>
        <w:t xml:space="preserve"> or merchandise, not exceeding </w:t>
      </w:r>
      <w:r>
        <w:t>((</w:t>
      </w:r>
      <w:r>
        <w:rPr>
          <w:strike/>
        </w:rPr>
        <w:t xml:space="preserve">twenty-five</w:t>
      </w:r>
      <w:r>
        <w:t>))</w:t>
      </w:r>
      <w:r>
        <w:rPr/>
        <w:t xml:space="preserve"> </w:t>
      </w:r>
      <w:r>
        <w:rPr>
          <w:u w:val="single"/>
        </w:rPr>
        <w:t xml:space="preserve">one hundred</w:t>
      </w:r>
      <w:r>
        <w:rPr/>
        <w:t xml:space="preserve"> dollars in value per person in the aggregate in any twelve month period, are given to all insureds or prospective insureds under similar qualifying circumstances. </w:t>
      </w:r>
      <w:r>
        <w:rPr>
          <w:u w:val="single"/>
        </w:rPr>
        <w:t xml:space="preserve">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2009 c 329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w:t>
      </w:r>
      <w:r>
        <w:rPr>
          <w:u w:val="single"/>
        </w:rPr>
        <w:t xml:space="preserve">gift cards, gift certificates,</w:t>
      </w:r>
      <w:r>
        <w:rPr/>
        <w:t xml:space="preserve"> or merchandise of an aggregate value in excess of </w:t>
      </w:r>
      <w:r>
        <w:t>((</w:t>
      </w:r>
      <w:r>
        <w:rPr>
          <w:strike/>
        </w:rPr>
        <w:t xml:space="preserve">twenty-five</w:t>
      </w:r>
      <w:r>
        <w:t>))</w:t>
      </w:r>
      <w:r>
        <w:rPr/>
        <w:t xml:space="preserve"> </w:t>
      </w:r>
      <w:r>
        <w:rPr>
          <w:u w:val="single"/>
        </w:rPr>
        <w:t xml:space="preserve">one hundred</w:t>
      </w:r>
      <w:r>
        <w:rPr/>
        <w:t xml:space="preserve"> dollars </w:t>
      </w:r>
      <w:r>
        <w:rPr>
          <w:u w:val="single"/>
        </w:rPr>
        <w:t xml:space="preserve">per person in the aggregate in any consecutive twelve-month period. This subsection (1)(c) does not apply to title insurers or title insurance agents</w:t>
      </w:r>
      <w:r>
        <w:rPr/>
        <w:t xml:space="preserve">.</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give to an individual, prizes, goods, wares, gift cards, gift certificates, or merchandise not exceeding one hundred dollars in value per person in any consecutive twelve-month period for the referral of insurance business to the insurance producer, if the giving of the prizes, goods, wares, gift cards, gift certificates, or merchandise is not conditioned upon the person who is referred applying for or obtaining insurance through the insurance producer.</w:t>
      </w:r>
    </w:p>
    <w:p>
      <w:pPr>
        <w:spacing w:before="0" w:after="0" w:line="408" w:lineRule="exact"/>
        <w:ind w:left="0" w:right="0" w:firstLine="576"/>
        <w:jc w:val="left"/>
      </w:pPr>
      <w:r>
        <w:rPr/>
        <w:t xml:space="preserve">(2) The payment for the referral must not be in cash, currency, bills, coins, check, or by money order.</w:t>
      </w:r>
    </w:p>
    <w:p>
      <w:pPr>
        <w:spacing w:before="0" w:after="0" w:line="408" w:lineRule="exact"/>
        <w:ind w:left="0" w:right="0" w:firstLine="576"/>
        <w:jc w:val="left"/>
      </w:pPr>
      <w:r>
        <w:rPr/>
        <w:t xml:space="preserve">(3) The provisions of RCW 48.30.140 and 48.30.150 do not apply to prizes, goods, wares, gift cards, gift certificates, or merchandise given to a person in compliance with subsections (1) and (2) of this section.</w:t>
      </w:r>
    </w:p>
    <w:p>
      <w:pPr>
        <w:spacing w:before="0" w:after="0" w:line="408" w:lineRule="exact"/>
        <w:ind w:left="0" w:right="0" w:firstLine="576"/>
        <w:jc w:val="left"/>
      </w:pPr>
      <w:r>
        <w:rPr/>
        <w:t xml:space="preserve">(4) Notwithstanding subsections (1) and (2) of this section, an insurance producer may pay to an unlicensed individual who is neither an insured nor a prospective insured a referral fee conditioned on the submission of an application if made in compliance with the provisions of RCW 48.17.490(4).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sponsor events for, or make contributions to a bona fide charitable or nonprofit organization, if the sponsorship or contribution is not conditioned upon the organization applying for or obtaining insurance through the insurance producer.</w:t>
      </w:r>
    </w:p>
    <w:p>
      <w:pPr>
        <w:spacing w:before="0" w:after="0" w:line="408" w:lineRule="exact"/>
        <w:ind w:left="0" w:right="0" w:firstLine="576"/>
        <w:jc w:val="left"/>
      </w:pPr>
      <w:r>
        <w:rPr/>
        <w:t xml:space="preserve">(2) For purposes of this section, a bona fide charitable or nonprofit organization is:</w:t>
      </w:r>
    </w:p>
    <w:p>
      <w:pPr>
        <w:spacing w:before="0" w:after="0" w:line="408" w:lineRule="exact"/>
        <w:ind w:left="0" w:right="0" w:firstLine="576"/>
        <w:jc w:val="left"/>
      </w:pPr>
      <w:r>
        <w:rPr/>
        <w:t xml:space="preserve">(a) Any nonprofit corporation duly existing under the provisions of chapter 24.03 RCW for charitable, benevolent, eleemosynary, educational, civic, patriotic, political, social, fraternal, cultural, athletic, scientific, agricultural, or horticultural purposes;</w:t>
      </w:r>
    </w:p>
    <w:p>
      <w:pPr>
        <w:spacing w:before="0" w:after="0" w:line="408" w:lineRule="exact"/>
        <w:ind w:left="0" w:right="0" w:firstLine="576"/>
        <w:jc w:val="left"/>
      </w:pPr>
      <w:r>
        <w:rPr/>
        <w:t xml:space="preserve">(b) Any professional, commercial, industrial, or trade association;</w:t>
      </w:r>
    </w:p>
    <w:p>
      <w:pPr>
        <w:spacing w:before="0" w:after="0" w:line="408" w:lineRule="exact"/>
        <w:ind w:left="0" w:right="0" w:firstLine="576"/>
        <w:jc w:val="left"/>
      </w:pPr>
      <w:r>
        <w:rPr/>
        <w:t xml:space="preserve">(c) Any organization duly existing under the provisions of chapter 24.12, 24.20, or 24.28 RCW;</w:t>
      </w:r>
    </w:p>
    <w:p>
      <w:pPr>
        <w:spacing w:before="0" w:after="0" w:line="408" w:lineRule="exact"/>
        <w:ind w:left="0" w:right="0" w:firstLine="576"/>
        <w:jc w:val="left"/>
      </w:pPr>
      <w:r>
        <w:rPr/>
        <w:t xml:space="preserve">(d) Any agricultural fair authorized under the provisions of chapter 15.76 or 36.37 RCW; or</w:t>
      </w:r>
    </w:p>
    <w:p>
      <w:pPr>
        <w:spacing w:before="0" w:after="0" w:line="408" w:lineRule="exact"/>
        <w:ind w:left="0" w:right="0" w:firstLine="576"/>
        <w:jc w:val="left"/>
      </w:pPr>
      <w:r>
        <w:rPr/>
        <w:t xml:space="preserve">(e) Any nonprofit organization, whether incorporated or otherwise, when determined by the commissioner to be organized and operated for one or more of the purposes described in (a) through (d) of this subsection.</w:t>
      </w:r>
    </w:p>
    <w:p>
      <w:pPr>
        <w:spacing w:before="0" w:after="0" w:line="408" w:lineRule="exact"/>
        <w:ind w:left="0" w:right="0" w:firstLine="576"/>
        <w:jc w:val="left"/>
      </w:pPr>
      <w:r>
        <w:rPr/>
        <w:t xml:space="preserve">(3) RCW 48.30.140 and 48.30.150 do not apply to sponsorships or charitable contributions that are provided or given in compliance with subsection (1) of this section.</w:t>
      </w:r>
    </w:p>
    <w:p/>
    <w:p>
      <w:pPr>
        <w:jc w:val="center"/>
      </w:pPr>
      <w:r>
        <w:rPr>
          <w:b/>
        </w:rPr>
        <w:t>--- END ---</w:t>
      </w:r>
    </w:p>
    <w:sectPr>
      <w:pgNumType w:start="1"/>
      <w:footerReference xmlns:r="http://schemas.openxmlformats.org/officeDocument/2006/relationships" r:id="R388485ea708345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6f42a1bac34064" /><Relationship Type="http://schemas.openxmlformats.org/officeDocument/2006/relationships/footer" Target="/word/footer.xml" Id="R388485ea708345db" /></Relationships>
</file>