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9acf263f264683" /></Relationships>
</file>

<file path=word/document.xml><?xml version="1.0" encoding="utf-8"?>
<w:document xmlns:w="http://schemas.openxmlformats.org/wordprocessingml/2006/main">
  <w:body>
    <w:p>
      <w:r>
        <w:t>S-1152.1</w:t>
      </w:r>
    </w:p>
    <w:p>
      <w:pPr>
        <w:jc w:val="center"/>
      </w:pPr>
      <w:r>
        <w:t>_______________________________________________</w:t>
      </w:r>
    </w:p>
    <w:p/>
    <w:p>
      <w:pPr>
        <w:jc w:val="center"/>
      </w:pPr>
      <w:r>
        <w:rPr>
          <w:b/>
        </w:rPr>
        <w:t>SENATE BILL 5740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Billig, Litzow, McAuliffe, Frockt, Miloscia, Darneille, and Jayapal</w:t>
      </w:r>
    </w:p>
    <w:p/>
    <w:p>
      <w:r>
        <w:rPr>
          <w:t xml:space="preserve">Read first time 01/30/15.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foster care services; amending RCW 13.34.267 and 74.13.031; reenacting and amending RCW 74.13.020; and adding a new section to chapter 74.13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(d)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u w:val="single"/>
        </w:rPr>
        <w:t xml:space="preserve">(e)</w:t>
      </w:r>
      <w:r>
        <w:rPr/>
        <w:t xml:space="preserv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u w:val="single"/>
        </w:rPr>
        <w:t xml:space="preserve">(11)</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(11)</w:t>
      </w:r>
      <w:r>
        <w:t>))</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(12)</w:t>
      </w:r>
      <w:r>
        <w:t>))</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(13)</w:t>
      </w:r>
      <w:r>
        <w:t>))</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(14)</w:t>
      </w:r>
      <w:r>
        <w:t>))</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(15)</w:t>
      </w:r>
      <w:r>
        <w:t>))</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(16)</w:t>
      </w:r>
      <w:r>
        <w:t>))</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(17)</w:t>
      </w:r>
      <w:r>
        <w:t>))</w:t>
      </w:r>
      <w:r>
        <w:rPr>
          <w:u w:val="single"/>
        </w:rPr>
        <w:t xml:space="preserve">(18)</w:t>
      </w:r>
      <w:r>
        <w:rPr/>
        <w:t xml:space="preserve"> "Unsupervised" has the same meaning as in RCW 43.43.830.</w:t>
      </w:r>
    </w:p>
    <w:p>
      <w:pPr>
        <w:spacing w:before="0" w:after="0" w:line="408" w:lineRule="exact"/>
        <w:ind w:left="0" w:right="0" w:firstLine="576"/>
        <w:jc w:val="left"/>
      </w:pPr>
      <w:r>
        <w:t>((</w:t>
      </w:r>
      <w:r>
        <w:rPr>
          <w:strike/>
        </w:rPr>
        <w:t xml:space="preserve">(18)</w:t>
      </w:r>
      <w:r>
        <w:t>))</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(iv)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(v) Not able to engage in any of the activities described in (a)(i) through (iv) of this subsection due to a documented medical condition</w:t>
      </w:r>
      <w:r>
        <w:rPr/>
        <w:t xml:space="preserve">.</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w:t>
      </w:r>
    </w:p>
    <w:p/>
    <w:p>
      <w:pPr>
        <w:jc w:val="center"/>
      </w:pPr>
      <w:r>
        <w:rPr>
          <w:b/>
        </w:rPr>
        <w:t>--- END ---</w:t>
      </w:r>
    </w:p>
    <w:sectPr>
      <w:pgNumType w:start="1"/>
      <w:footerReference xmlns:r="http://schemas.openxmlformats.org/officeDocument/2006/relationships" r:id="R72fcc5f70f6f4a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773d661b254540" /><Relationship Type="http://schemas.openxmlformats.org/officeDocument/2006/relationships/footer" Target="/word/footer.xml" Id="R72fcc5f70f6f4a58" /></Relationships>
</file>