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52445ac1664047" /></Relationships>
</file>

<file path=word/document.xml><?xml version="1.0" encoding="utf-8"?>
<w:document xmlns:w="http://schemas.openxmlformats.org/wordprocessingml/2006/main">
  <w:body>
    <w:p>
      <w:r>
        <w:t>S-2227.1</w:t>
      </w:r>
    </w:p>
    <w:p>
      <w:pPr>
        <w:jc w:val="center"/>
      </w:pPr>
      <w:r>
        <w:t>_______________________________________________</w:t>
      </w:r>
    </w:p>
    <w:p/>
    <w:p>
      <w:pPr>
        <w:jc w:val="center"/>
      </w:pPr>
      <w:r>
        <w:rPr>
          <w:b/>
        </w:rPr>
        <w:t>SUBSTITUTE SENATE BILL 5740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Fain, Billig, Litzow, McAuliffe, Frockt, Miloscia, Darneille, and Jayapal)</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extended foster care services; amending RCW 13.34.267 and 74.13.031; reenacting and amending RCW 74.13.020; and adding a new section to chapter 74.13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2014 c 122 s 1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in foster care at the age of eighteen years and who, at the time of his or her eighteenth birthday,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 </w:t>
      </w:r>
      <w:r>
        <w:t>((</w:t>
      </w:r>
      <w:r>
        <w:rPr>
          <w:strike/>
        </w:rPr>
        <w:t xml:space="preserve">or</w:t>
      </w:r>
      <w:r>
        <w:t>))</w:t>
      </w:r>
    </w:p>
    <w:p>
      <w:pPr>
        <w:spacing w:before="0" w:after="0" w:line="408" w:lineRule="exact"/>
        <w:ind w:left="0" w:right="0" w:firstLine="576"/>
        <w:jc w:val="left"/>
      </w:pPr>
      <w:r>
        <w:rPr/>
        <w:t xml:space="preserve">(d) Within amounts appropriated specifically for this purpose, engaged in employment for eighty hours or more per month</w:t>
      </w:r>
      <w:r>
        <w:rPr>
          <w:u w:val="single"/>
        </w:rPr>
        <w:t xml:space="preserve">; or</w:t>
      </w:r>
    </w:p>
    <w:p>
      <w:pPr>
        <w:spacing w:before="0" w:after="0" w:line="408" w:lineRule="exact"/>
        <w:ind w:left="0" w:right="0" w:firstLine="576"/>
        <w:jc w:val="left"/>
      </w:pPr>
      <w:r>
        <w:rPr>
          <w:u w:val="single"/>
        </w:rPr>
        <w:t xml:space="preserve">(e) Within amounts appropriated specifically for this purpose, not able to engage in any of the activities described in (a) through (d) of this subsection due to a documented medical condition</w:t>
      </w:r>
      <w:r>
        <w:rPr/>
        <w:t xml:space="preserve">.</w:t>
      </w:r>
    </w:p>
    <w:p>
      <w:pPr>
        <w:spacing w:before="0" w:after="0" w:line="408" w:lineRule="exact"/>
        <w:ind w:left="0" w:right="0" w:firstLine="576"/>
        <w:jc w:val="left"/>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spacing w:before="0" w:after="0" w:line="408" w:lineRule="exact"/>
        <w:ind w:left="0" w:right="0" w:firstLine="576"/>
        <w:jc w:val="left"/>
      </w:pPr>
      <w:r>
        <w:rPr/>
        <w:t xml:space="preserve">(3) A dependent youth receiving extended foster care services is a party to the dependency proceeding. The youth's parent or guardian must be dismissed from the dependency proceeding when the youth reaches the age of eighteen.</w:t>
      </w:r>
    </w:p>
    <w:p>
      <w:pPr>
        <w:spacing w:before="0" w:after="0" w:line="408" w:lineRule="exact"/>
        <w:ind w:left="0" w:right="0" w:firstLine="576"/>
        <w:jc w:val="left"/>
      </w:pPr>
      <w:r>
        <w:rPr/>
        <w:t xml:space="preserve">(4) The court shall dismiss the dependency proceeding for any youth who is a dependent in foster care and who, at the age of eighteen years, does not meet any of the criteria described in subsection (1)(a) through </w:t>
      </w:r>
      <w:r>
        <w:t>((</w:t>
      </w:r>
      <w:r>
        <w:rPr>
          <w:strike/>
        </w:rPr>
        <w:t xml:space="preserve">(d)</w:t>
      </w:r>
      <w:r>
        <w:t>))</w:t>
      </w:r>
      <w:r>
        <w:rPr/>
        <w:t xml:space="preserve"> </w:t>
      </w:r>
      <w:r>
        <w:rPr>
          <w:u w:val="single"/>
        </w:rPr>
        <w:t xml:space="preserve">(e)</w:t>
      </w:r>
      <w:r>
        <w:rPr/>
        <w:t xml:space="preserve"> of this section or does not agree to participate in the program.</w:t>
      </w:r>
    </w:p>
    <w:p>
      <w:pPr>
        <w:spacing w:before="0" w:after="0" w:line="408" w:lineRule="exact"/>
        <w:ind w:left="0" w:right="0" w:firstLine="576"/>
        <w:jc w:val="left"/>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rPr/>
        <w:t xml:space="preserve">(6) The court shall appoint counsel to represent a youth, as defined in RCW 13.34.030(2)(b), in dependency proceedings under this section.</w:t>
      </w:r>
    </w:p>
    <w:p>
      <w:pPr>
        <w:spacing w:before="0" w:after="0" w:line="408" w:lineRule="exact"/>
        <w:ind w:left="0" w:right="0" w:firstLine="576"/>
        <w:jc w:val="left"/>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Whether the youth continues to be eligible for extended foster care services;</w:t>
      </w:r>
    </w:p>
    <w:p>
      <w:pPr>
        <w:spacing w:before="0" w:after="0" w:line="408" w:lineRule="exact"/>
        <w:ind w:left="0" w:right="0" w:firstLine="576"/>
        <w:jc w:val="left"/>
      </w:pPr>
      <w:r>
        <w:rPr/>
        <w:t xml:space="preserve">(c) Whether the current placement is developmentally appropriate for the youth;</w:t>
      </w:r>
    </w:p>
    <w:p>
      <w:pPr>
        <w:spacing w:before="0" w:after="0" w:line="408" w:lineRule="exact"/>
        <w:ind w:left="0" w:right="0" w:firstLine="576"/>
        <w:jc w:val="left"/>
      </w:pPr>
      <w:r>
        <w:rPr/>
        <w:t xml:space="preserve">(d) The youth's development of independent living skills; and</w:t>
      </w:r>
    </w:p>
    <w:p>
      <w:pPr>
        <w:spacing w:before="0" w:after="0" w:line="408" w:lineRule="exact"/>
        <w:ind w:left="0" w:right="0" w:firstLine="576"/>
        <w:jc w:val="left"/>
      </w:pPr>
      <w:r>
        <w:rPr/>
        <w:t xml:space="preserve">(e) The youth's overall progress toward transitioning to full independence and the projected date for achieving such transition.</w:t>
      </w:r>
    </w:p>
    <w:p>
      <w:pPr>
        <w:spacing w:before="0" w:after="0" w:line="408" w:lineRule="exact"/>
        <w:ind w:left="0" w:right="0" w:firstLine="576"/>
        <w:jc w:val="left"/>
      </w:pPr>
      <w:r>
        <w:rPr/>
        <w:t xml:space="preserve">(8)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2013 c 332 s 8 and 2013 c 162 s 5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w:t>
      </w:r>
      <w:r>
        <w:rPr>
          <w:u w:val="single"/>
        </w:rPr>
        <w:t xml:space="preserve">"Medical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u w:val="single"/>
        </w:rPr>
        <w:t xml:space="preserve">(11)</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"Unsupervised" has the same meaning as in RCW 43.43.830.</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2014 c 122 s 2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 </w:t>
      </w:r>
      <w:r>
        <w:t>((</w:t>
      </w:r>
      <w:r>
        <w:rPr>
          <w:strike/>
        </w:rPr>
        <w:t xml:space="preserve">or</w:t>
      </w:r>
      <w:r>
        <w:t>))</w:t>
      </w:r>
    </w:p>
    <w:p>
      <w:pPr>
        <w:spacing w:before="0" w:after="0" w:line="408" w:lineRule="exact"/>
        <w:ind w:left="0" w:right="0" w:firstLine="576"/>
        <w:jc w:val="left"/>
      </w:pPr>
      <w:r>
        <w:rPr/>
        <w:t xml:space="preserve">(iv) Within amounts appropriated specifically for this purpose, engaged in employment for eighty hours or more per month</w:t>
      </w:r>
      <w:r>
        <w:rPr>
          <w:u w:val="single"/>
        </w:rPr>
        <w:t xml:space="preserve">; or</w:t>
      </w:r>
    </w:p>
    <w:p>
      <w:pPr>
        <w:spacing w:before="0" w:after="0" w:line="408" w:lineRule="exact"/>
        <w:ind w:left="0" w:right="0" w:firstLine="576"/>
        <w:jc w:val="left"/>
      </w:pPr>
      <w:r>
        <w:rPr>
          <w:u w:val="single"/>
        </w:rPr>
        <w:t xml:space="preserve">(v) Within amounts appropriated specifically for this purpose, not able to engage in any of the activities described in (a)(i) through (iv) of this subsection due to a documented medical condition</w:t>
      </w:r>
      <w:r>
        <w:rPr/>
        <w:t xml:space="preserve">.</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u w:val="single"/>
        </w:rPr>
        <w:t xml:space="preserve">(d) The department shall only use providers with a valid medicaid core provider agreement, unless the condition of the extended foster care youth is emergent.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and 74.13.032 through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With respect to youth who will be aging out of foster care, the children's administration shall invite representatives from the division of behavioral health and recovery, the disability services administration, the economic services administration, and the juvenile justice and rehabilitation administration to the youth's shared planning meeting that occurs between age seventeen and seventeen and one-half that is used to develop a transition plan. It is the responsibility of the children's administration to include these agencies in the shared planning meeting.</w:t>
      </w:r>
    </w:p>
    <w:p/>
    <w:p>
      <w:pPr>
        <w:jc w:val="center"/>
      </w:pPr>
      <w:r>
        <w:rPr>
          <w:b/>
        </w:rPr>
        <w:t>--- END ---</w:t>
      </w:r>
    </w:p>
    <w:sectPr>
      <w:pgNumType w:start="1"/>
      <w:footerReference xmlns:r="http://schemas.openxmlformats.org/officeDocument/2006/relationships" r:id="Rc476acefa0a048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3bbf2a723f42fa" /><Relationship Type="http://schemas.openxmlformats.org/officeDocument/2006/relationships/footer" Target="/word/footer.xml" Id="Rc476acefa0a04810" /></Relationships>
</file>