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271ad453f14a3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5735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Ericksen, Rivers, Angel, Baumgartner, Brown, Hewitt, Bailey, Schoesler, Parlette, Honeyford, Braun, Padden, Becker, Hatfield, and Sheldon)</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incentives for carbon reduction investments; amending RCW 19.285.030 and 19.285.040;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climate change is real and that human activity may contribute to climate change. The legislature further finds that climate change is impacting the state. The 2008 legislature established statewide emission goals that are to be achieved by 2020, 2035, and 2050, but did not enact a comprehensive set of measures to ensure that the emission reductions would be accomplished. The 2015 legislature further finds that action should be taken to encourage and incentivize clean energy investments.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w:t>
      </w:r>
      <w:r>
        <w:rPr>
          <w:u w:val="single"/>
        </w:rPr>
        <w:t xml:space="preserve">Carbon reduction investments;</w:t>
      </w:r>
    </w:p>
    <w:p>
      <w:pPr>
        <w:spacing w:before="0" w:after="0" w:line="408" w:lineRule="exact"/>
        <w:ind w:left="0" w:right="0" w:firstLine="576"/>
        <w:jc w:val="left"/>
      </w:pPr>
      <w:r>
        <w:rPr>
          <w:u w:val="single"/>
        </w:rPr>
        <w:t xml:space="preserve">(e)</w:t>
      </w:r>
      <w:r>
        <w:rPr/>
        <w:t xml:space="preserve"> Qualified biomass energy;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0" w:after="0" w:line="408" w:lineRule="exact"/>
        <w:ind w:left="0" w:right="0" w:firstLine="576"/>
        <w:jc w:val="left"/>
      </w:pPr>
      <w:r>
        <w:rPr>
          <w:u w:val="single"/>
        </w:rPr>
        <w:t xml:space="preserve">(24) "Carbon reduction investment" means an investment in support of eligible projects or actions that reduce, prevent, or remove from the atmosphere the emissions of greenhouse gases in the state. An eligible project or action includes, but is not limited to, investment in or purchase of the emissions reductions attributable to the following: (a) Conservation measures exceeding the avoided cost of power as identified by the Pacific Northwest electric power and conservation planning council; (b) installation of electric vehicle chargers and related infrastructure; (c) installation of infrastructure to provide compressed natural gas, liquefied natural gas, and renewable natural gas for motor vehicles, locomotives, and marine vessels; (d) the fuel conversion of state ferries to liquefied natural gas; (e) demand side management of electricity consumption; (f) energy storage technologies; and (g) carbon sequestration programs.</w:t>
      </w:r>
    </w:p>
    <w:p>
      <w:pPr>
        <w:spacing w:before="0" w:after="0" w:line="408" w:lineRule="exact"/>
        <w:ind w:left="0" w:right="0" w:firstLine="576"/>
        <w:jc w:val="left"/>
      </w:pPr>
      <w:r>
        <w:rPr>
          <w:u w:val="single"/>
        </w:rPr>
        <w:t xml:space="preserve">(25) "Greenhouse gas" means carbon dioxide (CO</w:t>
      </w:r>
      <w:r>
        <w:rPr>
          <w:u w:val="single"/>
          <w:vertAlign w:val="subscript"/>
        </w:rPr>
        <w:t xml:space="preserve">2</w:t>
      </w:r>
      <w:r>
        <w:rPr>
          <w:u w:val="single"/>
        </w:rPr>
        <w:t xml:space="preserve">), methane (CH</w:t>
      </w:r>
      <w:r>
        <w:rPr>
          <w:u w:val="single"/>
          <w:vertAlign w:val="subscript"/>
        </w:rPr>
        <w:t xml:space="preserve">4</w:t>
      </w:r>
      <w:r>
        <w:rPr>
          <w:u w:val="single"/>
        </w:rPr>
        <w:t xml:space="preserve">), nitrogen trifluoride (NF</w:t>
      </w:r>
      <w:r>
        <w:rPr>
          <w:u w:val="single"/>
          <w:vertAlign w:val="subscript"/>
        </w:rPr>
        <w:t xml:space="preserve">3</w:t>
      </w:r>
      <w:r>
        <w:rPr>
          <w:u w:val="single"/>
        </w:rPr>
        <w:t xml:space="preserve">), nitrous oxide (N</w:t>
      </w:r>
      <w:r>
        <w:rPr>
          <w:u w:val="single"/>
          <w:vertAlign w:val="subscript"/>
        </w:rPr>
        <w:t xml:space="preserve">2</w:t>
      </w:r>
      <w:r>
        <w:rPr>
          <w:u w:val="single"/>
        </w:rPr>
        <w:t xml:space="preserve">O), sulfur hexafluoride (SF</w:t>
      </w:r>
      <w:r>
        <w:rPr>
          <w:u w:val="single"/>
          <w:vertAlign w:val="subscript"/>
        </w:rPr>
        <w:t xml:space="preserve">6</w:t>
      </w:r>
      <w:r>
        <w:rPr>
          <w:u w:val="single"/>
        </w:rPr>
        <w:t xml:space="preserve">), hydrofluorocarbons (HFCs), perfluorocarbons (PFCs), and other fluorinated greenhouse gases.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w:t>
      </w:r>
      <w:r>
        <w:t>((</w:t>
      </w:r>
      <w:r>
        <w:rPr>
          <w:strike/>
        </w:rPr>
        <w:t xml:space="preserve">(j)</w:t>
      </w:r>
      <w:r>
        <w:t>))</w:t>
      </w:r>
      <w:r>
        <w:rPr/>
        <w:t xml:space="preserve"> </w:t>
      </w:r>
      <w:r>
        <w:rPr>
          <w:u w:val="single"/>
        </w:rPr>
        <w:t xml:space="preserve">(m)</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rPr>
          <w:u w:val="single"/>
        </w:rPr>
        <w:t xml:space="preserve">Beginning January 1, 2016, a qualifying utility may use carbon reduction investments for compliance with an annual target in (a) of this subsection as specified under this subsection (2)(e). For the purposes of complying with an annual target in (a) of this subsection, one-half metric ton of carbon dioxide equivalent emissions reduced, prevented, or removed from the atmosphere is equal to the compliance equivalent of one renewable energy credit. Each compliance equivalent under this subsection (2)(e) must be recognized by the commission or auditor for each year that the emissions reduction is certified to persist. The determination and certification of emissions reductions must be measured, verified, and documented by a third-party expert retained by the qualifying utility and subject only to determination or audit as specified under RCW 19.285.060. Emissions reductions under this subsection that are certified to persist for longer than one year may be carried forward and applied as compliance equivalents in future years.</w:t>
      </w:r>
    </w:p>
    <w:p>
      <w:pPr>
        <w:spacing w:before="0" w:after="0" w:line="408" w:lineRule="exact"/>
        <w:ind w:left="0" w:right="0" w:firstLine="576"/>
        <w:jc w:val="left"/>
      </w:pPr>
      <w:r>
        <w:rPr>
          <w:u w:val="single"/>
        </w:rPr>
        <w:t xml:space="preserve">(f) Beginning January 1, 2016, a qualifying utility is considered in compliance with an annual target in (a) of this subsection if it invests at least one percent of its total annual retail revenue requirement for that year in carbon reduction investments as identified in (e) of this subsection. Each compliance equivalent under this subsection (2)(f) must be recognized by the commission or auditor for each year that the emissions reduction is certified to persist. The determination and certification of emissions reductions must be measured, verified, and documented by a third-party expert retained by the qualifying utility and subject only to determination or audit as specified under RCW 19.285.060. Emissions reductions under this subsection that are certified to persist for longer than one year may be carried forward and applied as compliance equivalents under (e) of this subsection.</w:t>
      </w:r>
    </w:p>
    <w:p>
      <w:pPr>
        <w:spacing w:before="0" w:after="0" w:line="408" w:lineRule="exact"/>
        <w:ind w:left="0" w:right="0" w:firstLine="576"/>
        <w:jc w:val="left"/>
      </w:pPr>
      <w:r>
        <w:rPr>
          <w:u w:val="single"/>
        </w:rPr>
        <w:t xml:space="preserve">(g) A qualifying utility using the alternative compliance path in (f) of this subsection shall resume meeting the annual targets in (a) of this subsection on a time frame comparable in length to what it would have been before using this compliance path.</w:t>
      </w:r>
    </w:p>
    <w:p>
      <w:pPr>
        <w:spacing w:before="0" w:after="0" w:line="408" w:lineRule="exact"/>
        <w:ind w:left="0" w:right="0" w:firstLine="576"/>
        <w:jc w:val="left"/>
      </w:pPr>
      <w:r>
        <w:rPr>
          <w:u w:val="single"/>
        </w:rPr>
        <w:t xml:space="preserve">(h)</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t xml:space="preserve"> </w:t>
      </w:r>
      <w:r>
        <w:rPr>
          <w:u w:val="single"/>
        </w:rPr>
        <w:t xml:space="preserve">(k)</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t xml:space="preserve"> </w:t>
      </w:r>
      <w:r>
        <w:rPr>
          <w:u w:val="single"/>
        </w:rPr>
        <w:t xml:space="preserve">(l)</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t xml:space="preserve"> </w:t>
      </w:r>
      <w:r>
        <w:rPr>
          <w:u w:val="single"/>
        </w:rPr>
        <w:t xml:space="preserve">(m)</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t xml:space="preserve"> </w:t>
      </w:r>
      <w:r>
        <w:rPr>
          <w:u w:val="single"/>
        </w:rPr>
        <w:t xml:space="preserve">(n)</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
      <w:pPr>
        <w:jc w:val="center"/>
      </w:pPr>
      <w:r>
        <w:rPr>
          <w:b/>
        </w:rPr>
        <w:t>--- END ---</w:t>
      </w:r>
    </w:p>
    <w:sectPr>
      <w:pgNumType w:start="1"/>
      <w:footerReference xmlns:r="http://schemas.openxmlformats.org/officeDocument/2006/relationships" r:id="Rcc2f1f419cff49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ed9aaf9ac84d9f" /><Relationship Type="http://schemas.openxmlformats.org/officeDocument/2006/relationships/footer" Target="/word/footer.xml" Id="Rcc2f1f419cff49d1" /></Relationships>
</file>