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23e29e15143df" /></Relationships>
</file>

<file path=word/document.xml><?xml version="1.0" encoding="utf-8"?>
<w:document xmlns:w="http://schemas.openxmlformats.org/wordprocessingml/2006/main">
  <w:body>
    <w:p>
      <w:r>
        <w:t>S-1708.2</w:t>
      </w:r>
    </w:p>
    <w:p>
      <w:pPr>
        <w:jc w:val="center"/>
      </w:pPr>
      <w:r>
        <w:t>_______________________________________________</w:t>
      </w:r>
    </w:p>
    <w:p/>
    <w:p>
      <w:pPr>
        <w:jc w:val="center"/>
      </w:pPr>
      <w:r>
        <w:rPr>
          <w:b/>
        </w:rPr>
        <w:t>SUBSTITUTE SENATE BILL 5733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Hatfield, and Hobbs; by request of Department of Agriculture)</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transaction reporting; amending RCW 16.57.160; and adding a new section to chapter 16.57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(1)(a) The director may establish an electronic cattle transaction reporting system as a mechanism for reporting cattle transactions to the department. The system may be used as an alternative to mandatory inspections under RCW 16.57.160 for cattle only. </w:t>
      </w:r>
    </w:p>
    <w:p>
      <w:pPr>
        <w:spacing w:before="0" w:after="0" w:line="408" w:lineRule="exact"/>
        <w:ind w:left="0" w:right="0" w:firstLine="576"/>
        <w:jc w:val="left"/>
      </w:pPr>
      <w:r>
        <w:rPr/>
        <w:t xml:space="preserve">(b) Pursuant to criteria established by the director by rule, a cattle transaction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cattle. </w:t>
      </w:r>
    </w:p>
    <w:p>
      <w:pPr>
        <w:spacing w:before="0" w:after="0" w:line="408" w:lineRule="exact"/>
        <w:ind w:left="0" w:right="0" w:firstLine="576"/>
        <w:jc w:val="left"/>
      </w:pPr>
      <w:r>
        <w:rPr/>
        <w:t xml:space="preserve">(2) A person may not electronically report cattle transactions without first obtaining a license from the director. All references to a license and licensee within this section means the electronic cattle transaction reporting license and any person licensed under the provisions of this section. Applicants for a license must submit an application to the department on a form provided by the department and must include an application fee as established by the director by rule.</w:t>
      </w:r>
    </w:p>
    <w:p>
      <w:pPr>
        <w:spacing w:before="0" w:after="0" w:line="408" w:lineRule="exact"/>
        <w:ind w:left="0" w:right="0" w:firstLine="576"/>
        <w:jc w:val="left"/>
      </w:pPr>
      <w:r>
        <w:rPr/>
        <w:t xml:space="preserve">(3) The licensee must keep accurate records that are made available for inspection by the department upon request and during normal business hours. Records accounting for all cattle transactions of the licensed property must be retained for three years.</w:t>
      </w:r>
    </w:p>
    <w:p>
      <w:pPr>
        <w:spacing w:before="0" w:after="0" w:line="408" w:lineRule="exact"/>
        <w:ind w:left="0" w:right="0" w:firstLine="576"/>
        <w:jc w:val="left"/>
      </w:pPr>
      <w:r>
        <w:rPr/>
        <w:t xml:space="preserve">(4) The director may enter a property at any reasonable time to conduct examinations and inspections of cattle and records for movement verification purposes. It is unlawful for any person to interfere with the examination and inspection of cattle and records as provided for in this subsection. If the director is denied access to a property or cattle for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(5) The director may deny, suspend, or revoke a license when the director finds that a licensee fails to meet the reporting requirements, knowingly makes false or inaccurate statements, has previously had a license revoked, denies entry as provided in subsection (4) of this section, or violates any other provision of this chapter or any rules adopted under this chapter. Any action taken must be done so under the provisions of chapter 34.05 RCW, the administrative procedure act. If a license is denied, suspended, or revoked, the mandatory cattle inspection requirements under RCW 16.57.160 apply.</w:t>
      </w:r>
    </w:p>
    <w:p>
      <w:pPr>
        <w:spacing w:before="0" w:after="0" w:line="408" w:lineRule="exact"/>
        <w:ind w:left="0" w:right="0" w:firstLine="576"/>
        <w:jc w:val="left"/>
      </w:pPr>
      <w:r>
        <w:rPr/>
        <w:t xml:space="preserve">(6) The director may adopt rules:</w:t>
      </w:r>
    </w:p>
    <w:p>
      <w:pPr>
        <w:spacing w:before="0" w:after="0" w:line="408" w:lineRule="exact"/>
        <w:ind w:left="0" w:right="0" w:firstLine="576"/>
        <w:jc w:val="left"/>
      </w:pPr>
      <w:r>
        <w:rPr/>
        <w:t xml:space="preserve">(a) Designating conditions of licensure and use of the electronic cattle transaction reporting system.</w:t>
      </w:r>
    </w:p>
    <w:p>
      <w:pPr>
        <w:spacing w:before="0" w:after="0" w:line="408" w:lineRule="exact"/>
        <w:ind w:left="0" w:right="0" w:firstLine="576"/>
        <w:jc w:val="left"/>
      </w:pPr>
      <w:r>
        <w:rPr/>
        <w:t xml:space="preserve">(b) Establishing an initial application and license renewal fee and fees to be paid by the licensee for reporting cattle transactions to the electronic cattle transaction reporting system. The fees must, as closely as practicable, cover the cost of the development, maintenance, fee collection, and audit and administrative oversight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2013 c 313 s 1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 A bill of sale may not be designated as documenting satisfactory proof of ownership for cattle;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w:t>
      </w:r>
      <w:r>
        <w:rPr>
          <w:u w:val="single"/>
        </w:rPr>
        <w:t xml:space="preserve">The director may establish a process to electronically report cattle transactions under section 1 of this act as an alternative to the mandatory cattle inspections required by department rule adopted pursuant to this section.</w:t>
      </w:r>
    </w:p>
    <w:p>
      <w:pPr>
        <w:spacing w:before="0" w:after="0" w:line="408" w:lineRule="exact"/>
        <w:ind w:left="0" w:right="0" w:firstLine="576"/>
        <w:jc w:val="left"/>
      </w:pPr>
      <w:r>
        <w:rPr>
          <w:u w:val="single"/>
        </w:rPr>
        <w:t xml:space="preserve">(3)</w:t>
      </w:r>
      <w:r>
        <w:rPr/>
        <w:t xml:space="preserve">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w:t>
      </w:r>
      <w:r>
        <w:t>((</w:t>
      </w:r>
      <w:r>
        <w:rPr>
          <w:strike/>
        </w:rPr>
        <w:t xml:space="preserve">(3)</w:t>
      </w:r>
      <w:r>
        <w:t>))</w:t>
      </w:r>
      <w:r>
        <w:rPr/>
        <w:t xml:space="preserve"> </w:t>
      </w:r>
      <w:r>
        <w:rPr>
          <w:u w:val="single"/>
        </w:rPr>
        <w:t xml:space="preserve">(4)</w:t>
      </w:r>
      <w:r>
        <w:rPr/>
        <w:t xml:space="preserve">, "green tag" means the official individual identification issued by the department.</w:t>
      </w:r>
    </w:p>
    <w:p>
      <w:pPr>
        <w:spacing w:before="0" w:after="0" w:line="408" w:lineRule="exact"/>
        <w:ind w:left="0" w:right="0" w:firstLine="576"/>
        <w:jc w:val="left"/>
      </w:pPr>
      <w:r>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t xml:space="preserve">(i) The animal is under thirty days old and has not been previously bought or sold;</w:t>
      </w:r>
    </w:p>
    <w:p>
      <w:pPr>
        <w:spacing w:before="0" w:after="0" w:line="408" w:lineRule="exact"/>
        <w:ind w:left="0" w:right="0" w:firstLine="576"/>
        <w:jc w:val="left"/>
      </w:pPr>
      <w:r>
        <w:rPr/>
        <w:t xml:space="preserve">(ii) The seller holds a valid milk producer's license under chapter 15.36 RCW;</w:t>
      </w:r>
    </w:p>
    <w:p>
      <w:pPr>
        <w:spacing w:before="0" w:after="0" w:line="408" w:lineRule="exact"/>
        <w:ind w:left="0" w:right="0" w:firstLine="576"/>
        <w:jc w:val="left"/>
      </w:pPr>
      <w:r>
        <w:rPr/>
        <w:t xml:space="preserve">(iii) The sale does not take place at or through a public livestock market or special sale authorized by chapter 16.65 RCW;</w:t>
      </w:r>
    </w:p>
    <w:p>
      <w:pPr>
        <w:spacing w:before="0" w:after="0" w:line="408" w:lineRule="exact"/>
        <w:ind w:left="0" w:right="0" w:firstLine="576"/>
        <w:jc w:val="left"/>
      </w:pPr>
      <w:r>
        <w:rPr/>
        <w:t xml:space="preserve">(iv) Each animal is officially identified as provided in (a) of this subsection; and</w:t>
      </w:r>
    </w:p>
    <w:p>
      <w:pPr>
        <w:spacing w:before="0" w:after="0" w:line="408" w:lineRule="exact"/>
        <w:ind w:left="0" w:right="0" w:firstLine="576"/>
        <w:jc w:val="left"/>
      </w:pPr>
      <w:r>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t xml:space="preserve">(c) All fees received under (a) of this subsection, except for the beef commission assessment, must be deposited in the animal disease traceability account in the agricultural local fund created in RCW 43.23.230.</w:t>
      </w:r>
    </w:p>
    <w:p/>
    <w:p>
      <w:pPr>
        <w:jc w:val="center"/>
      </w:pPr>
      <w:r>
        <w:rPr>
          <w:b/>
        </w:rPr>
        <w:t>--- END ---</w:t>
      </w:r>
    </w:p>
    <w:sectPr>
      <w:pgNumType w:start="1"/>
      <w:footerReference xmlns:r="http://schemas.openxmlformats.org/officeDocument/2006/relationships" r:id="R3b7559a6e79a4b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f1a7ab2f44537" /><Relationship Type="http://schemas.openxmlformats.org/officeDocument/2006/relationships/footer" Target="/word/footer.xml" Id="R3b7559a6e79a4b06" /></Relationships>
</file>